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20" w:lineRule="atLeast"/>
        <w:jc w:val="both"/>
        <w:rPr>
          <w:rFonts w:hint="eastAsia" w:ascii="仿宋_GB2312" w:hAnsi="仿宋_GB2312" w:eastAsia="仿宋_GB2312" w:cs="仿宋_GB2312"/>
          <w:b/>
          <w:bCs/>
          <w:sz w:val="28"/>
          <w:szCs w:val="28"/>
          <w:lang w:val="en-US" w:eastAsia="zh-CN"/>
        </w:rPr>
      </w:pPr>
      <w:bookmarkStart w:id="0" w:name="_GoBack"/>
      <w:bookmarkEnd w:id="0"/>
      <w:r>
        <w:rPr>
          <w:rFonts w:hint="eastAsia" w:ascii="仿宋_GB2312" w:hAnsi="仿宋_GB2312" w:eastAsia="仿宋_GB2312" w:cs="仿宋_GB2312"/>
          <w:b/>
          <w:bCs/>
          <w:sz w:val="28"/>
          <w:szCs w:val="28"/>
          <w:lang w:val="en-US" w:eastAsia="zh-CN"/>
        </w:rPr>
        <w:t>附件1:</w:t>
      </w:r>
    </w:p>
    <w:p>
      <w:pPr>
        <w:spacing w:line="220" w:lineRule="atLeast"/>
        <w:jc w:val="center"/>
        <w:rPr>
          <w:rFonts w:hint="eastAsia" w:ascii="仿宋_GB2312" w:hAnsi="仿宋_GB2312" w:eastAsia="仿宋_GB2312" w:cs="仿宋_GB2312"/>
          <w:b/>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szCs w:val="28"/>
          <w14:textFill>
            <w14:solidFill>
              <w14:schemeClr w14:val="tx1"/>
            </w14:solidFill>
          </w14:textFill>
        </w:rPr>
        <w:t>孕期营养分析仪</w:t>
      </w:r>
      <w:r>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t>技术</w:t>
      </w:r>
      <w:r>
        <w:rPr>
          <w:rFonts w:hint="eastAsia" w:ascii="仿宋_GB2312" w:hAnsi="仿宋_GB2312" w:eastAsia="仿宋_GB2312" w:cs="仿宋_GB2312"/>
          <w:b/>
          <w:bCs/>
          <w:color w:val="000000" w:themeColor="text1"/>
          <w:sz w:val="28"/>
          <w:szCs w:val="28"/>
          <w14:textFill>
            <w14:solidFill>
              <w14:schemeClr w14:val="tx1"/>
            </w14:solidFill>
          </w14:textFill>
        </w:rPr>
        <w:t>参数</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一、配置及性能要求:</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营养信息管理系统；</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膳食调查数据库；</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运动指导数据库；</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用户管理系统；</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5</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内置身份证自动识别系统；</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数据转换及数据输出系；</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内置数据采集生物阻抗检测系统；</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具有彩色打印系统；</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9</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豪华一体化工作台；</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10</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机器为双屏显示，方便医生和患者同时观测数据，主屏尺寸≥26寸，分辨率</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1920*1080，副屏尺寸≥15寸，分辨率</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1920*1080；</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整机质量：长宽高 1115mm*625mm*1245mm，重量：105KG；</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主机具有外置数据接口，方便对接，可接身高体重秤（选配），接收传输数据，自动填写数据，无需手填。</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13</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输出电流≤450μA；</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14</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外置USB接口≥4个。同时具有WIFI无线网卡和有线网卡，有线网络接口外置方便对接，有线速度≥100M。</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15</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安全保护：具有电路保护，输出过载、过压、高温保护等；</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16</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具有迷你智能笔记本键盘及无线鼠标各2套。</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二、功能要求：</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（一）检测方法：</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1、生物电阻抗分析法（BIA）：5个节段部分（右上肢、左上肢、躯干、右下肢、左下肢）；</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2、电极方法：8点接触式电极；</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3、测量方法：多频五因素生物电阻抗法；</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4、人体成分计算方法：不使用经验值估算。</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输出值：体重、肌肉量（骨骼肌含量）、蛋白质、无机盐、体脂肪、身体总水分、细胞内液、细胞外液、浮肿指数、去脂体重、BMI、体脂百分比、内脏脂肪面积、基础代谢率（BMR）、节段肌肉（左上肢、右上肢、躯干、左下肢、右下肢）、肌肉脂肪控制、体成分测量历史数据、每个节段和频率的电阻抗值。</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二</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档案管理：</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服务对象可通过刷身份证快速建立个人档案；</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档案支持身份证和分类快速查询；</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可根据检测者身份变化自由切换备孕期、孕期和产后三个状态；</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支持对接生成高危孕产妇五色管理功能，给出营养指导；</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支持孕期和产后常见不适症状指导。</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（三）检查：</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人体成分分析检测，多项人体成分结果多次检查可对比：体重、体内水分、骨骼肌、无机盐、蛋白质、体脂率和浮肿指数等。</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孕期体重增长曲线，支持自主绘制短时间体重增长斜率，查看由于孕反应等原因造成体重负增长情况，给出相应增长意见；</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血糖监测：包含OGTT和餐后血糖等，并自动标记异常情况，将高血糖信息录入并给出方指导方案；</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血压和心率检测：出现异常情况，自动标记，并给出指导方案；</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具有宫高腹围检测等；</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（四）膳食调查与分析：</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支持频次法膳食调查包含快速调查、详细调查和相对量调查；</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支持回顾法膳食调查；</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膳食分析：两种膳食调查方式具有分析，营养素分析、膳食结构分析、能量来源和三餐能量分析、以及营养素结果评估不足，并给出推荐食物。</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（五）配餐：</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依据测量结果、孕周、BMI、体力活动强度等参数，给出针对不同个体的配餐方案；</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依据测量结果、孕周、BMI、体力活动强度等参数，给出针对同一个体不同孕期的配餐方案；</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孕期包含GDM、贫血、补钙、素食等配餐；备孕期配餐；产后月子餐、哺乳餐、减重配餐、产后贫血、产后补钙、产后糖尿病配餐等；</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可一次性提供1~7套配餐方案，特殊配餐根据用户需求，医生可自由组合；</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每套配餐方案安排6餐；</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rPr>
        <w:t>每餐每道菜品给出所需各项食材具体重量；</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rPr>
        <w:t>食物种类可根据个人口味喜好不同进行人性化等量替换，并在报告中体现；</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支持医生自主修改和编制食谱配餐并另存为新模板；</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*9、</w:t>
      </w:r>
      <w:r>
        <w:rPr>
          <w:rFonts w:hint="eastAsia" w:ascii="仿宋_GB2312" w:hAnsi="仿宋_GB2312" w:eastAsia="仿宋_GB2312" w:cs="仿宋_GB2312"/>
          <w:sz w:val="28"/>
          <w:szCs w:val="28"/>
        </w:rPr>
        <w:t>支持简易食谱（食物交换份）与精准食谱同时给出；</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*10、</w:t>
      </w:r>
      <w:r>
        <w:rPr>
          <w:rFonts w:hint="eastAsia" w:ascii="仿宋_GB2312" w:hAnsi="仿宋_GB2312" w:eastAsia="仿宋_GB2312" w:cs="仿宋_GB2312"/>
          <w:sz w:val="28"/>
          <w:szCs w:val="28"/>
        </w:rPr>
        <w:t>支持开出营养补充剂等营养处方。</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（六）运动监测：</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分级：极轻体力活动、轻体力活动、中体力活动、重体力活动；</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运动调查：调查结束会自动算出每种类型活动时间和消耗的能量以及总能量；</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运动指导：提供孕期正常、体重增长过快或妊娠糖尿病运动指导；产后月子期、顺产、剖产以及产后塑性运动指导；备孕期减重等指导。</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（七）统计</w:t>
      </w:r>
      <w:r>
        <w:rPr>
          <w:rFonts w:hint="eastAsia" w:ascii="仿宋_GB2312" w:hAnsi="仿宋_GB2312" w:eastAsia="仿宋_GB2312" w:cs="仿宋_GB2312"/>
          <w:sz w:val="28"/>
          <w:szCs w:val="28"/>
          <w:lang w:val="en-US" w:eastAsia="zh-CN"/>
        </w:rPr>
        <w:t>功能</w:t>
      </w:r>
      <w:r>
        <w:rPr>
          <w:rFonts w:hint="eastAsia" w:ascii="仿宋_GB2312" w:hAnsi="仿宋_GB2312" w:eastAsia="仿宋_GB2312" w:cs="仿宋_GB2312"/>
          <w:sz w:val="28"/>
          <w:szCs w:val="28"/>
        </w:rPr>
        <w:t>：</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自动统计出配餐中营养素含量；</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自动统计各分类食材含量；</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自动统计配餐方案的能量来源分布；</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自动统计配餐方案的餐次供能分布；</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系统可按照不同病症要素（高危和孕期、产后不适症状）在全院范围内进行病案统计，并导出表格，可做临床科研提供数据。</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（八）孕期指导建议：</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1、能</w:t>
      </w:r>
      <w:r>
        <w:rPr>
          <w:rFonts w:hint="eastAsia" w:ascii="仿宋_GB2312" w:hAnsi="仿宋_GB2312" w:eastAsia="仿宋_GB2312" w:cs="仿宋_GB2312"/>
          <w:sz w:val="28"/>
          <w:szCs w:val="28"/>
        </w:rPr>
        <w:t>提供孕期膳食原则；</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*2、能</w:t>
      </w:r>
      <w:r>
        <w:rPr>
          <w:rFonts w:hint="eastAsia" w:ascii="仿宋_GB2312" w:hAnsi="仿宋_GB2312" w:eastAsia="仿宋_GB2312" w:cs="仿宋_GB2312"/>
          <w:sz w:val="28"/>
          <w:szCs w:val="28"/>
        </w:rPr>
        <w:t>提供不同营养保健须知：备孕期、孕期、产后（月子期、哺乳期、断乳期、塑形期）；</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3、能</w:t>
      </w:r>
      <w:r>
        <w:rPr>
          <w:rFonts w:hint="eastAsia" w:ascii="仿宋_GB2312" w:hAnsi="仿宋_GB2312" w:eastAsia="仿宋_GB2312" w:cs="仿宋_GB2312"/>
          <w:sz w:val="28"/>
          <w:szCs w:val="28"/>
        </w:rPr>
        <w:t>提供烹饪注意事项；</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三、微信小程序:</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1、支持</w:t>
      </w:r>
      <w:r>
        <w:rPr>
          <w:rFonts w:hint="eastAsia" w:ascii="仿宋_GB2312" w:hAnsi="仿宋_GB2312" w:eastAsia="仿宋_GB2312" w:cs="仿宋_GB2312"/>
          <w:sz w:val="28"/>
          <w:szCs w:val="28"/>
        </w:rPr>
        <w:t>微信小程序与PC平台信息互联互通；</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可查看本人个性化营养食谱、孕期营养保健须知、烹饪注意事项。</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支持家庭手机端膳食记录、运动记录，并实时传输；</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支持家庭互联网血糖仪、血压计检测数据实时传输。</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四、家庭监测：</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1、能</w:t>
      </w:r>
      <w:r>
        <w:rPr>
          <w:rFonts w:hint="eastAsia" w:ascii="仿宋_GB2312" w:hAnsi="仿宋_GB2312" w:eastAsia="仿宋_GB2312" w:cs="仿宋_GB2312"/>
          <w:sz w:val="28"/>
          <w:szCs w:val="28"/>
        </w:rPr>
        <w:t>实时接收微信小程序上记录的数据，膳食记录、血糖、血压、心率；</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可任选所需时间段的膳食记录内容并进行分析；</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可查看所需时间段血糖、血压、心率的曲线变化，并可看到造成此变化的膳食情况。</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五、适用人群：备孕期、孕产妇、孕期特殊疾病（如GDM、甲亢等）人群、产后人群等。</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六、质保期≥1年。</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rPr>
      </w:pPr>
    </w:p>
    <w:p>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仿宋" w:hAnsi="仿宋" w:eastAsia="仿宋" w:cs="仿宋"/>
          <w:sz w:val="30"/>
          <w:szCs w:val="30"/>
        </w:rPr>
      </w:pPr>
    </w:p>
    <w:p>
      <w:pPr>
        <w:pStyle w:val="2"/>
      </w:pPr>
    </w:p>
    <w:p>
      <w:pPr>
        <w:pStyle w:val="2"/>
        <w:rPr>
          <w:rFonts w:hint="default"/>
          <w:lang w:val="en-US" w:eastAsia="zh-CN"/>
        </w:rPr>
      </w:pPr>
    </w:p>
    <w:p>
      <w:pPr>
        <w:pStyle w:val="2"/>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eastAsia="zh-CN"/>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eastAsia="zh-CN"/>
        </w:rPr>
        <w:t>附件</w:t>
      </w:r>
      <w:r>
        <w:rPr>
          <w:rFonts w:hint="eastAsia" w:ascii="仿宋_GB2312" w:hAnsi="仿宋_GB2312" w:eastAsia="仿宋_GB2312" w:cs="仿宋_GB2312"/>
          <w:b/>
          <w:bCs/>
          <w:sz w:val="28"/>
          <w:szCs w:val="28"/>
          <w:lang w:val="en-US" w:eastAsia="zh-CN"/>
        </w:rPr>
        <w:t>2：</w:t>
      </w:r>
    </w:p>
    <w:p>
      <w:pPr>
        <w:jc w:val="both"/>
        <w:rPr>
          <w:rFonts w:hint="eastAsia" w:ascii="仿宋_GB2312" w:hAnsi="仿宋_GB2312" w:eastAsia="仿宋_GB2312" w:cs="仿宋_GB2312"/>
          <w:b/>
          <w:bCs/>
          <w:sz w:val="28"/>
          <w:szCs w:val="28"/>
          <w:lang w:eastAsia="zh-CN"/>
        </w:rPr>
      </w:pPr>
    </w:p>
    <w:p>
      <w:pPr>
        <w:jc w:val="center"/>
        <w:rPr>
          <w:rFonts w:hint="eastAsia" w:ascii="仿宋_GB2312" w:hAnsi="仿宋_GB2312" w:eastAsia="仿宋_GB2312" w:cs="仿宋_GB2312"/>
          <w:lang w:val="en-US" w:eastAsia="zh-CN"/>
        </w:rPr>
      </w:pPr>
      <w:r>
        <w:rPr>
          <w:rFonts w:hint="eastAsia" w:ascii="仿宋_GB2312" w:hAnsi="仿宋_GB2312" w:eastAsia="仿宋_GB2312" w:cs="仿宋_GB2312"/>
          <w:b/>
          <w:bCs/>
          <w:sz w:val="28"/>
          <w:szCs w:val="28"/>
          <w:lang w:eastAsia="zh-CN"/>
        </w:rPr>
        <w:t>评分细则</w:t>
      </w:r>
    </w:p>
    <w:p>
      <w:pPr>
        <w:rPr>
          <w:rFonts w:hint="eastAsia" w:ascii="仿宋_GB2312" w:hAnsi="仿宋_GB2312" w:eastAsia="仿宋_GB2312" w:cs="仿宋_GB2312"/>
          <w:lang w:val="en-US" w:eastAsia="zh-CN"/>
        </w:rPr>
      </w:pPr>
    </w:p>
    <w:tbl>
      <w:tblPr>
        <w:tblStyle w:val="9"/>
        <w:tblpPr w:leftFromText="180" w:rightFromText="180" w:vertAnchor="page" w:horzAnchor="page" w:tblpX="1367" w:tblpY="3112"/>
        <w:tblOverlap w:val="never"/>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1195"/>
        <w:gridCol w:w="561"/>
        <w:gridCol w:w="3710"/>
        <w:gridCol w:w="1486"/>
        <w:gridCol w:w="1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序号</w:t>
            </w:r>
          </w:p>
        </w:tc>
        <w:tc>
          <w:tcPr>
            <w:tcW w:w="1195"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评分因素</w:t>
            </w:r>
          </w:p>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及权重</w:t>
            </w:r>
          </w:p>
        </w:tc>
        <w:tc>
          <w:tcPr>
            <w:tcW w:w="561"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分　值</w:t>
            </w:r>
          </w:p>
        </w:tc>
        <w:tc>
          <w:tcPr>
            <w:tcW w:w="3710"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评分标准</w:t>
            </w:r>
          </w:p>
        </w:tc>
        <w:tc>
          <w:tcPr>
            <w:tcW w:w="1486" w:type="dxa"/>
            <w:vAlign w:val="center"/>
          </w:tcPr>
          <w:p>
            <w:pPr>
              <w:spacing w:line="40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备注</w:t>
            </w:r>
          </w:p>
        </w:tc>
        <w:tc>
          <w:tcPr>
            <w:tcW w:w="1068" w:type="dxa"/>
            <w:vAlign w:val="center"/>
          </w:tcPr>
          <w:p>
            <w:pPr>
              <w:spacing w:line="40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报价</w:t>
            </w:r>
            <w:r>
              <w:rPr>
                <w:rFonts w:hint="eastAsia" w:ascii="仿宋_GB2312" w:hAnsi="仿宋_GB2312" w:eastAsia="仿宋_GB2312" w:cs="仿宋_GB2312"/>
                <w:kern w:val="0"/>
                <w:sz w:val="24"/>
                <w:lang w:val="en-US" w:eastAsia="zh-CN"/>
              </w:rPr>
              <w:t>35</w:t>
            </w:r>
            <w:r>
              <w:rPr>
                <w:rFonts w:hint="eastAsia" w:ascii="仿宋_GB2312" w:hAnsi="仿宋_GB2312" w:eastAsia="仿宋_GB2312" w:cs="仿宋_GB2312"/>
                <w:kern w:val="0"/>
                <w:sz w:val="24"/>
              </w:rPr>
              <w:t>%</w:t>
            </w:r>
          </w:p>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（主要评分因素）</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3</w:t>
            </w:r>
            <w:r>
              <w:rPr>
                <w:rFonts w:hint="eastAsia" w:ascii="仿宋_GB2312" w:hAnsi="仿宋_GB2312" w:eastAsia="仿宋_GB2312" w:cs="仿宋_GB2312"/>
                <w:kern w:val="0"/>
                <w:sz w:val="24"/>
                <w:lang w:val="en-US" w:eastAsia="zh-CN"/>
              </w:rPr>
              <w:t>5</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满足招标文件要求且投标价格最低的投标报价为评标基准价，其价格分为满分。其他投标人的价格分统一按照下列公式计算：投标报价得分=(评标基准价／投标报价)* 3</w:t>
            </w:r>
            <w:r>
              <w:rPr>
                <w:rFonts w:hint="eastAsia" w:ascii="仿宋_GB2312" w:hAnsi="仿宋_GB2312" w:eastAsia="仿宋_GB2312" w:cs="仿宋_GB2312"/>
                <w:kern w:val="0"/>
                <w:sz w:val="24"/>
                <w:lang w:val="en-US" w:eastAsia="zh-CN"/>
              </w:rPr>
              <w:t>5</w:t>
            </w:r>
            <w:r>
              <w:rPr>
                <w:rFonts w:hint="eastAsia" w:ascii="仿宋_GB2312" w:hAnsi="仿宋_GB2312" w:eastAsia="仿宋_GB2312" w:cs="仿宋_GB2312"/>
                <w:kern w:val="0"/>
                <w:sz w:val="24"/>
              </w:rPr>
              <w:t>分*100%</w:t>
            </w:r>
          </w:p>
        </w:tc>
        <w:tc>
          <w:tcPr>
            <w:tcW w:w="1486"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2</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商务、技术、服务要求</w:t>
            </w:r>
            <w:r>
              <w:rPr>
                <w:rFonts w:hint="eastAsia" w:ascii="仿宋_GB2312" w:hAnsi="仿宋_GB2312" w:eastAsia="仿宋_GB2312" w:cs="仿宋_GB2312"/>
                <w:kern w:val="0"/>
                <w:sz w:val="24"/>
                <w:lang w:val="en-US" w:eastAsia="zh-CN"/>
              </w:rPr>
              <w:t>50</w:t>
            </w:r>
            <w:r>
              <w:rPr>
                <w:rFonts w:hint="eastAsia" w:ascii="仿宋_GB2312" w:hAnsi="仿宋_GB2312" w:eastAsia="仿宋_GB2312" w:cs="仿宋_GB2312"/>
                <w:kern w:val="0"/>
                <w:sz w:val="24"/>
              </w:rPr>
              <w:t>%（主要评分因素）</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50</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lang w:val="en-US" w:eastAsia="zh-CN"/>
              </w:rPr>
            </w:pPr>
            <w:r>
              <w:rPr>
                <w:rFonts w:hint="eastAsia" w:ascii="仿宋_GB2312" w:hAnsi="仿宋_GB2312" w:eastAsia="仿宋_GB2312" w:cs="仿宋_GB2312"/>
                <w:kern w:val="0"/>
                <w:sz w:val="24"/>
              </w:rPr>
              <w:t>技术指标、商务要求低于招标要求的（负偏离），*条款负偏离一项扣5分，一般条款负偏离一项扣2分。</w:t>
            </w:r>
          </w:p>
        </w:tc>
        <w:tc>
          <w:tcPr>
            <w:tcW w:w="1486" w:type="dxa"/>
            <w:vAlign w:val="center"/>
          </w:tcPr>
          <w:p>
            <w:pPr>
              <w:rPr>
                <w:rFonts w:hint="eastAsia" w:ascii="仿宋_GB2312" w:hAnsi="仿宋_GB2312" w:eastAsia="仿宋_GB2312" w:cs="仿宋_GB2312"/>
                <w:kern w:val="0"/>
                <w:sz w:val="24"/>
                <w:lang w:val="en-US" w:eastAsia="zh-CN"/>
              </w:rPr>
            </w:pPr>
            <w:r>
              <w:rPr>
                <w:rFonts w:hint="eastAsia" w:ascii="仿宋_GB2312" w:hAnsi="仿宋_GB2312" w:eastAsia="仿宋_GB2312" w:cs="仿宋_GB2312"/>
                <w:kern w:val="0"/>
                <w:sz w:val="24"/>
                <w:lang w:val="en-US" w:eastAsia="zh-CN"/>
              </w:rPr>
              <w:t>专家根据标书参数响应表进行打分。</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技术类评分因素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3</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售后服务</w:t>
            </w:r>
            <w:r>
              <w:rPr>
                <w:rFonts w:hint="eastAsia" w:ascii="仿宋_GB2312" w:hAnsi="仿宋_GB2312" w:eastAsia="仿宋_GB2312" w:cs="仿宋_GB2312"/>
                <w:kern w:val="0"/>
                <w:sz w:val="24"/>
                <w:lang w:val="en-US" w:eastAsia="zh-CN"/>
              </w:rPr>
              <w:t>10</w:t>
            </w:r>
            <w:r>
              <w:rPr>
                <w:rFonts w:hint="eastAsia" w:ascii="仿宋_GB2312" w:hAnsi="仿宋_GB2312" w:eastAsia="仿宋_GB2312" w:cs="仿宋_GB2312"/>
                <w:kern w:val="0"/>
                <w:sz w:val="24"/>
              </w:rPr>
              <w:t>%</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10</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根据投标人承诺的质量保证范围</w:t>
            </w:r>
            <w:r>
              <w:rPr>
                <w:rFonts w:hint="eastAsia" w:ascii="仿宋_GB2312" w:hAnsi="仿宋_GB2312" w:eastAsia="仿宋_GB2312" w:cs="仿宋_GB2312"/>
                <w:kern w:val="0"/>
                <w:sz w:val="24"/>
                <w:lang w:eastAsia="zh-CN"/>
              </w:rPr>
              <w:t>、时间</w:t>
            </w:r>
            <w:r>
              <w:rPr>
                <w:rFonts w:hint="eastAsia" w:ascii="仿宋_GB2312" w:hAnsi="仿宋_GB2312" w:eastAsia="仿宋_GB2312" w:cs="仿宋_GB2312"/>
                <w:kern w:val="0"/>
                <w:sz w:val="24"/>
              </w:rPr>
              <w:t>，本地化售后服务，维修响应时间，人员培训计划</w:t>
            </w:r>
            <w:r>
              <w:rPr>
                <w:rFonts w:hint="eastAsia" w:ascii="仿宋_GB2312" w:hAnsi="仿宋_GB2312" w:eastAsia="仿宋_GB2312" w:cs="仿宋_GB2312"/>
                <w:kern w:val="0"/>
                <w:sz w:val="24"/>
                <w:lang w:eastAsia="zh-CN"/>
              </w:rPr>
              <w:t>、增值服务</w:t>
            </w:r>
            <w:r>
              <w:rPr>
                <w:rFonts w:hint="eastAsia" w:ascii="仿宋_GB2312" w:hAnsi="仿宋_GB2312" w:eastAsia="仿宋_GB2312" w:cs="仿宋_GB2312"/>
                <w:kern w:val="0"/>
                <w:sz w:val="24"/>
              </w:rPr>
              <w:t>等进行综合分析比较</w:t>
            </w:r>
            <w:r>
              <w:rPr>
                <w:rFonts w:hint="eastAsia" w:ascii="仿宋_GB2312" w:hAnsi="仿宋_GB2312" w:eastAsia="仿宋_GB2312" w:cs="仿宋_GB2312"/>
                <w:kern w:val="0"/>
                <w:sz w:val="24"/>
                <w:lang w:eastAsia="zh-CN"/>
              </w:rPr>
              <w:t>后进行打分</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eastAsia="zh-CN"/>
              </w:rPr>
              <w:t>没有以上内容</w:t>
            </w:r>
            <w:r>
              <w:rPr>
                <w:rFonts w:hint="eastAsia" w:ascii="仿宋_GB2312" w:hAnsi="仿宋_GB2312" w:eastAsia="仿宋_GB2312" w:cs="仿宋_GB2312"/>
                <w:kern w:val="0"/>
                <w:sz w:val="24"/>
              </w:rPr>
              <w:t>不得分。</w:t>
            </w:r>
          </w:p>
        </w:tc>
        <w:tc>
          <w:tcPr>
            <w:tcW w:w="1486"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4</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节能、环境标志、无线局域网产品</w:t>
            </w: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投标人投标产品中每有一项为节能产品或者环境标志产品或者无线局域网产品政府采购清单中的产品的得</w:t>
            </w:r>
            <w:r>
              <w:rPr>
                <w:rFonts w:hint="eastAsia" w:ascii="仿宋_GB2312" w:hAnsi="仿宋_GB2312" w:eastAsia="仿宋_GB2312" w:cs="仿宋_GB2312"/>
                <w:kern w:val="0"/>
                <w:sz w:val="24"/>
                <w:lang w:val="en-US" w:eastAsia="zh-CN"/>
              </w:rPr>
              <w:t>1</w:t>
            </w:r>
            <w:r>
              <w:rPr>
                <w:rFonts w:hint="eastAsia" w:ascii="仿宋_GB2312" w:hAnsi="仿宋_GB2312" w:eastAsia="仿宋_GB2312" w:cs="仿宋_GB2312"/>
                <w:kern w:val="0"/>
                <w:sz w:val="24"/>
              </w:rPr>
              <w:t>分，非政府采购节能、环境标志产品的、无线局域网产品的不得分。本项最多得</w:t>
            </w: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分。</w:t>
            </w:r>
          </w:p>
        </w:tc>
        <w:tc>
          <w:tcPr>
            <w:tcW w:w="1486"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提供产品对应的清单复印件，以《中国政府采购网》最新颁布清单为准。</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政策合同类评分因素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9"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5</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投标文件的规范性</w:t>
            </w:r>
            <w:r>
              <w:rPr>
                <w:rFonts w:hint="eastAsia" w:ascii="仿宋_GB2312" w:hAnsi="仿宋_GB2312" w:eastAsia="仿宋_GB2312" w:cs="仿宋_GB2312"/>
                <w:kern w:val="0"/>
                <w:sz w:val="24"/>
                <w:lang w:val="en-US" w:eastAsia="zh-CN"/>
              </w:rPr>
              <w:t>3</w:t>
            </w:r>
            <w:r>
              <w:rPr>
                <w:rFonts w:hint="eastAsia" w:ascii="仿宋_GB2312" w:hAnsi="仿宋_GB2312" w:eastAsia="仿宋_GB2312" w:cs="仿宋_GB2312"/>
                <w:kern w:val="0"/>
                <w:sz w:val="24"/>
              </w:rPr>
              <w:t>%</w:t>
            </w:r>
          </w:p>
        </w:tc>
        <w:tc>
          <w:tcPr>
            <w:tcW w:w="561" w:type="dxa"/>
            <w:vAlign w:val="center"/>
          </w:tcPr>
          <w:p>
            <w:pP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3</w:t>
            </w:r>
            <w:r>
              <w:rPr>
                <w:rFonts w:hint="eastAsia" w:ascii="仿宋_GB2312" w:hAnsi="仿宋_GB2312" w:eastAsia="仿宋_GB2312" w:cs="仿宋_GB2312"/>
                <w:kern w:val="0"/>
                <w:sz w:val="24"/>
                <w:lang w:eastAsia="zh-CN"/>
              </w:rPr>
              <w:t>分</w:t>
            </w:r>
          </w:p>
        </w:tc>
        <w:tc>
          <w:tcPr>
            <w:tcW w:w="3710" w:type="dxa"/>
            <w:vAlign w:val="center"/>
          </w:tcPr>
          <w:p>
            <w:pP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eastAsia="zh-CN"/>
              </w:rPr>
              <w:t>按照政府采购的要求制作</w:t>
            </w:r>
            <w:r>
              <w:rPr>
                <w:rFonts w:hint="eastAsia" w:ascii="仿宋_GB2312" w:hAnsi="仿宋_GB2312" w:eastAsia="仿宋_GB2312" w:cs="仿宋_GB2312"/>
                <w:kern w:val="0"/>
                <w:sz w:val="24"/>
              </w:rPr>
              <w:t>投标文件</w:t>
            </w:r>
          </w:p>
        </w:tc>
        <w:tc>
          <w:tcPr>
            <w:tcW w:w="1486"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共同评分因素</w:t>
            </w:r>
          </w:p>
        </w:tc>
      </w:tr>
    </w:tbl>
    <w:p>
      <w:pPr>
        <w:rPr>
          <w:rFonts w:hint="eastAsia" w:ascii="仿宋_GB2312" w:hAnsi="仿宋_GB2312" w:eastAsia="仿宋_GB2312" w:cs="仿宋_GB2312"/>
          <w:lang w:val="en-US" w:eastAsia="zh-CN"/>
        </w:rPr>
      </w:pPr>
    </w:p>
    <w:p>
      <w:pPr>
        <w:rPr>
          <w:rFonts w:hint="eastAsia" w:ascii="仿宋_GB2312" w:hAnsi="仿宋_GB2312" w:eastAsia="仿宋_GB2312" w:cs="仿宋_GB2312"/>
          <w:lang w:val="en-US" w:eastAsia="zh-CN"/>
        </w:rPr>
      </w:pPr>
    </w:p>
    <w:p>
      <w:pPr>
        <w:rPr>
          <w:rFonts w:hint="eastAsia" w:ascii="仿宋_GB2312" w:hAnsi="仿宋_GB2312" w:eastAsia="仿宋_GB2312" w:cs="仿宋_GB2312"/>
          <w:lang w:val="en-US" w:eastAsia="zh-CN"/>
        </w:rPr>
      </w:pPr>
    </w:p>
    <w:sectPr>
      <w:footerReference r:id="rId3" w:type="default"/>
      <w:pgSz w:w="11906" w:h="16838"/>
      <w:pgMar w:top="1134" w:right="1418" w:bottom="851" w:left="1418"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8C4"/>
    <w:rsid w:val="0007772F"/>
    <w:rsid w:val="000D3AEE"/>
    <w:rsid w:val="001727A2"/>
    <w:rsid w:val="002046A0"/>
    <w:rsid w:val="00235B6F"/>
    <w:rsid w:val="00242C11"/>
    <w:rsid w:val="00260F11"/>
    <w:rsid w:val="003D1E3F"/>
    <w:rsid w:val="003D388A"/>
    <w:rsid w:val="003E17A2"/>
    <w:rsid w:val="00444380"/>
    <w:rsid w:val="00462EED"/>
    <w:rsid w:val="00590092"/>
    <w:rsid w:val="005908C4"/>
    <w:rsid w:val="00602A36"/>
    <w:rsid w:val="006703E3"/>
    <w:rsid w:val="00697163"/>
    <w:rsid w:val="006F2EAA"/>
    <w:rsid w:val="00715237"/>
    <w:rsid w:val="007C5D34"/>
    <w:rsid w:val="0086482A"/>
    <w:rsid w:val="00892C9F"/>
    <w:rsid w:val="009727B2"/>
    <w:rsid w:val="009F1FC1"/>
    <w:rsid w:val="00AA4A32"/>
    <w:rsid w:val="00AE688E"/>
    <w:rsid w:val="00B006EB"/>
    <w:rsid w:val="00D528DA"/>
    <w:rsid w:val="00D76B45"/>
    <w:rsid w:val="00E207B4"/>
    <w:rsid w:val="00E55561"/>
    <w:rsid w:val="00E5722A"/>
    <w:rsid w:val="00E66588"/>
    <w:rsid w:val="00F14389"/>
    <w:rsid w:val="01147703"/>
    <w:rsid w:val="017B774E"/>
    <w:rsid w:val="086C6822"/>
    <w:rsid w:val="08C412EB"/>
    <w:rsid w:val="08CB0808"/>
    <w:rsid w:val="08DE4018"/>
    <w:rsid w:val="08F4624B"/>
    <w:rsid w:val="09127629"/>
    <w:rsid w:val="0A380E25"/>
    <w:rsid w:val="0B0867F5"/>
    <w:rsid w:val="0D051B42"/>
    <w:rsid w:val="0E9737D0"/>
    <w:rsid w:val="0F724942"/>
    <w:rsid w:val="119D4B1B"/>
    <w:rsid w:val="17054526"/>
    <w:rsid w:val="17F42A8D"/>
    <w:rsid w:val="187E6699"/>
    <w:rsid w:val="1956660C"/>
    <w:rsid w:val="1AD3096B"/>
    <w:rsid w:val="1E83443A"/>
    <w:rsid w:val="20282386"/>
    <w:rsid w:val="206C658E"/>
    <w:rsid w:val="214B29C3"/>
    <w:rsid w:val="21B0403A"/>
    <w:rsid w:val="2276562D"/>
    <w:rsid w:val="24783EEF"/>
    <w:rsid w:val="24E223DF"/>
    <w:rsid w:val="25943A43"/>
    <w:rsid w:val="263D325B"/>
    <w:rsid w:val="26FF6F87"/>
    <w:rsid w:val="27F03BE0"/>
    <w:rsid w:val="28944AE8"/>
    <w:rsid w:val="297A4149"/>
    <w:rsid w:val="2A8A6AAE"/>
    <w:rsid w:val="30681285"/>
    <w:rsid w:val="32D5248E"/>
    <w:rsid w:val="35BF0790"/>
    <w:rsid w:val="35DA574B"/>
    <w:rsid w:val="361402BE"/>
    <w:rsid w:val="36727BE2"/>
    <w:rsid w:val="38C94119"/>
    <w:rsid w:val="396041AC"/>
    <w:rsid w:val="3BB7353F"/>
    <w:rsid w:val="3D6E2980"/>
    <w:rsid w:val="3E623E77"/>
    <w:rsid w:val="3E8C40FA"/>
    <w:rsid w:val="3FDB4E00"/>
    <w:rsid w:val="40D51792"/>
    <w:rsid w:val="40F16869"/>
    <w:rsid w:val="416424A6"/>
    <w:rsid w:val="42BE4C8C"/>
    <w:rsid w:val="439B196A"/>
    <w:rsid w:val="474B2A15"/>
    <w:rsid w:val="47AA50B6"/>
    <w:rsid w:val="48592FEA"/>
    <w:rsid w:val="4A7506E1"/>
    <w:rsid w:val="4B59499D"/>
    <w:rsid w:val="4B87460E"/>
    <w:rsid w:val="4B94037D"/>
    <w:rsid w:val="4D3523D3"/>
    <w:rsid w:val="4DB51293"/>
    <w:rsid w:val="4FAC0F2D"/>
    <w:rsid w:val="4FBF17B7"/>
    <w:rsid w:val="50007E81"/>
    <w:rsid w:val="500D7D0B"/>
    <w:rsid w:val="52A25A99"/>
    <w:rsid w:val="52B850BE"/>
    <w:rsid w:val="53061176"/>
    <w:rsid w:val="53561A52"/>
    <w:rsid w:val="53BE757D"/>
    <w:rsid w:val="54AD2824"/>
    <w:rsid w:val="55056B59"/>
    <w:rsid w:val="563863F3"/>
    <w:rsid w:val="587009E0"/>
    <w:rsid w:val="58DB32C9"/>
    <w:rsid w:val="597077FA"/>
    <w:rsid w:val="5AF54827"/>
    <w:rsid w:val="5B522E89"/>
    <w:rsid w:val="5C8C1F35"/>
    <w:rsid w:val="5DA233C7"/>
    <w:rsid w:val="5DE470D4"/>
    <w:rsid w:val="60704904"/>
    <w:rsid w:val="60E569DB"/>
    <w:rsid w:val="61174B37"/>
    <w:rsid w:val="61B06041"/>
    <w:rsid w:val="61E07132"/>
    <w:rsid w:val="620913F7"/>
    <w:rsid w:val="62866D8E"/>
    <w:rsid w:val="64157FE1"/>
    <w:rsid w:val="64792A73"/>
    <w:rsid w:val="6AEE6F18"/>
    <w:rsid w:val="6B6E64BF"/>
    <w:rsid w:val="6F5224E9"/>
    <w:rsid w:val="6FC138AF"/>
    <w:rsid w:val="705C39A2"/>
    <w:rsid w:val="7076253A"/>
    <w:rsid w:val="73F154C9"/>
    <w:rsid w:val="765C4CB4"/>
    <w:rsid w:val="777925E2"/>
    <w:rsid w:val="78621982"/>
    <w:rsid w:val="7A324215"/>
    <w:rsid w:val="7C215833"/>
    <w:rsid w:val="7CF43977"/>
    <w:rsid w:val="7D2734CA"/>
    <w:rsid w:val="7DD22834"/>
    <w:rsid w:val="7DEB06E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微软雅黑"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6"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16"/>
    <w:qFormat/>
    <w:uiPriority w:val="0"/>
    <w:pPr>
      <w:keepNext/>
      <w:keepLines/>
      <w:spacing w:before="340" w:after="330" w:line="578" w:lineRule="auto"/>
      <w:outlineLvl w:val="0"/>
    </w:pPr>
    <w:rPr>
      <w:b/>
      <w:bCs/>
      <w:kern w:val="44"/>
      <w:sz w:val="44"/>
      <w:szCs w:val="44"/>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1"/>
    <w:pPr>
      <w:spacing w:before="8"/>
    </w:pPr>
    <w:rPr>
      <w:rFonts w:ascii="宋体" w:hAnsi="宋体" w:eastAsia="宋体" w:cs="宋体"/>
      <w:sz w:val="32"/>
      <w:szCs w:val="32"/>
      <w:lang w:val="zh-CN" w:eastAsia="zh-CN" w:bidi="zh-CN"/>
    </w:rPr>
  </w:style>
  <w:style w:type="paragraph" w:styleId="4">
    <w:name w:val="Plain Text"/>
    <w:basedOn w:val="1"/>
    <w:qFormat/>
    <w:uiPriority w:val="6"/>
    <w:rPr>
      <w:rFonts w:ascii="宋体" w:hAnsi="宋体" w:cs="Courier New"/>
      <w:kern w:val="1"/>
      <w:szCs w:val="21"/>
    </w:rPr>
  </w:style>
  <w:style w:type="paragraph" w:styleId="5">
    <w:name w:val="Date"/>
    <w:basedOn w:val="1"/>
    <w:next w:val="1"/>
    <w:link w:val="14"/>
    <w:semiHidden/>
    <w:unhideWhenUsed/>
    <w:qFormat/>
    <w:uiPriority w:val="99"/>
    <w:pPr>
      <w:ind w:left="100" w:leftChars="2500"/>
    </w:pPr>
  </w:style>
  <w:style w:type="paragraph" w:styleId="6">
    <w:name w:val="footer"/>
    <w:basedOn w:val="1"/>
    <w:link w:val="13"/>
    <w:unhideWhenUsed/>
    <w:qFormat/>
    <w:uiPriority w:val="99"/>
    <w:pPr>
      <w:tabs>
        <w:tab w:val="center" w:pos="4153"/>
        <w:tab w:val="right" w:pos="8306"/>
      </w:tabs>
      <w:snapToGrid w:val="0"/>
      <w:jc w:val="left"/>
    </w:pPr>
    <w:rPr>
      <w:sz w:val="18"/>
      <w:szCs w:val="18"/>
    </w:rPr>
  </w:style>
  <w:style w:type="paragraph" w:styleId="7">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qFormat/>
    <w:uiPriority w:val="0"/>
    <w:pPr>
      <w:spacing w:before="240" w:after="60"/>
      <w:jc w:val="center"/>
      <w:outlineLvl w:val="0"/>
    </w:pPr>
    <w:rPr>
      <w:rFonts w:ascii="Cambria" w:hAnsi="Cambria" w:cs="Times New Roman"/>
      <w:b/>
      <w:bCs/>
      <w:sz w:val="32"/>
      <w:szCs w:val="32"/>
    </w:rPr>
  </w:style>
  <w:style w:type="character" w:styleId="11">
    <w:name w:val="Strong"/>
    <w:basedOn w:val="10"/>
    <w:qFormat/>
    <w:uiPriority w:val="22"/>
    <w:rPr>
      <w:b/>
      <w:bCs/>
    </w:rPr>
  </w:style>
  <w:style w:type="character" w:customStyle="1" w:styleId="12">
    <w:name w:val="页眉 Char"/>
    <w:basedOn w:val="10"/>
    <w:link w:val="7"/>
    <w:semiHidden/>
    <w:qFormat/>
    <w:uiPriority w:val="99"/>
    <w:rPr>
      <w:sz w:val="18"/>
      <w:szCs w:val="18"/>
    </w:rPr>
  </w:style>
  <w:style w:type="character" w:customStyle="1" w:styleId="13">
    <w:name w:val="页脚 Char"/>
    <w:basedOn w:val="10"/>
    <w:link w:val="6"/>
    <w:qFormat/>
    <w:uiPriority w:val="99"/>
    <w:rPr>
      <w:sz w:val="18"/>
      <w:szCs w:val="18"/>
    </w:rPr>
  </w:style>
  <w:style w:type="character" w:customStyle="1" w:styleId="14">
    <w:name w:val="日期 Char"/>
    <w:basedOn w:val="10"/>
    <w:link w:val="5"/>
    <w:semiHidden/>
    <w:qFormat/>
    <w:uiPriority w:val="99"/>
  </w:style>
  <w:style w:type="character" w:customStyle="1" w:styleId="15">
    <w:name w:val="apple-style-span"/>
    <w:basedOn w:val="10"/>
    <w:qFormat/>
    <w:uiPriority w:val="0"/>
    <w:rPr>
      <w:rFonts w:hint="default" w:ascii="Times New Roman"/>
    </w:rPr>
  </w:style>
  <w:style w:type="character" w:customStyle="1" w:styleId="16">
    <w:name w:val="标题 1 Char"/>
    <w:link w:val="3"/>
    <w:qFormat/>
    <w:uiPriority w:val="0"/>
    <w:rPr>
      <w:b/>
      <w:bCs/>
      <w:kern w:val="44"/>
      <w:sz w:val="44"/>
      <w:szCs w:val="44"/>
    </w:rPr>
  </w:style>
  <w:style w:type="paragraph" w:customStyle="1" w:styleId="17">
    <w:name w:val="List Paragraph"/>
    <w:basedOn w:val="1"/>
    <w:qFormat/>
    <w:uiPriority w:val="34"/>
    <w:pPr>
      <w:ind w:firstLine="420" w:firstLineChars="200"/>
    </w:pPr>
    <w:rPr>
      <w:rFonts w:ascii="Calibri" w:hAnsi="Calibri"/>
      <w:szCs w:val="22"/>
    </w:rPr>
  </w:style>
  <w:style w:type="character" w:customStyle="1" w:styleId="18">
    <w:name w:val="font11"/>
    <w:basedOn w:val="10"/>
    <w:qFormat/>
    <w:uiPriority w:val="0"/>
    <w:rPr>
      <w:rFonts w:hint="eastAsia" w:ascii="宋体" w:hAnsi="宋体" w:eastAsia="宋体" w:cs="宋体"/>
      <w:color w:val="000000"/>
      <w:sz w:val="24"/>
      <w:szCs w:val="24"/>
      <w:u w:val="none"/>
    </w:rPr>
  </w:style>
  <w:style w:type="paragraph" w:customStyle="1" w:styleId="19">
    <w:name w:val="正文 A"/>
    <w:qFormat/>
    <w:uiPriority w:val="0"/>
    <w:pPr>
      <w:widowControl w:val="0"/>
      <w:pBdr>
        <w:top w:val="none" w:color="auto" w:sz="0" w:space="0"/>
        <w:left w:val="none" w:color="auto" w:sz="0" w:space="0"/>
        <w:bottom w:val="none" w:color="auto" w:sz="0" w:space="0"/>
        <w:right w:val="none" w:color="auto" w:sz="0" w:space="0"/>
        <w:between w:val="none" w:color="auto" w:sz="0" w:space="0"/>
      </w:pBdr>
      <w:jc w:val="both"/>
    </w:pPr>
    <w:rPr>
      <w:rFonts w:ascii="Calibri" w:hAnsi="Calibri" w:eastAsia="Calibri" w:cs="Calibri"/>
      <w:color w:val="000000"/>
      <w:kern w:val="2"/>
      <w:sz w:val="21"/>
      <w:szCs w:val="21"/>
      <w:u w:color="000000"/>
      <w:lang w:val="en-US" w:eastAsia="zh-CN" w:bidi="ar-SA"/>
    </w:rPr>
  </w:style>
  <w:style w:type="paragraph" w:customStyle="1" w:styleId="20">
    <w:name w:val="页眉与页脚"/>
    <w:qFormat/>
    <w:uiPriority w:val="0"/>
    <w:pPr>
      <w:pBdr>
        <w:top w:val="none" w:color="auto" w:sz="0" w:space="0"/>
        <w:left w:val="none" w:color="auto" w:sz="0" w:space="0"/>
        <w:bottom w:val="none" w:color="auto" w:sz="0" w:space="0"/>
        <w:right w:val="none" w:color="auto" w:sz="0" w:space="0"/>
        <w:between w:val="none" w:color="auto" w:sz="0" w:space="0"/>
      </w:pBdr>
      <w:tabs>
        <w:tab w:val="right" w:pos="9020"/>
      </w:tabs>
    </w:pPr>
    <w:rPr>
      <w:rFonts w:ascii="Helvetica" w:hAnsi="Arial Unicode MS" w:eastAsia="Arial Unicode MS" w:cs="Arial Unicode MS"/>
      <w:color w:val="000000"/>
      <w:sz w:val="24"/>
      <w:szCs w:val="24"/>
      <w:lang w:val="en-US" w:eastAsia="zh-CN" w:bidi="ar-SA"/>
    </w:rPr>
  </w:style>
  <w:style w:type="paragraph" w:customStyle="1" w:styleId="21">
    <w:name w:val="Table Paragraph"/>
    <w:basedOn w:val="1"/>
    <w:qFormat/>
    <w:uiPriority w:val="1"/>
    <w:pPr>
      <w:spacing w:before="21"/>
      <w:ind w:left="108"/>
    </w:pPr>
    <w:rPr>
      <w:rFonts w:ascii="宋体" w:hAnsi="宋体" w:eastAsia="宋体" w:cs="宋体"/>
      <w:lang w:val="zh-CN" w:eastAsia="zh-CN" w:bidi="zh-CN"/>
    </w:rPr>
  </w:style>
  <w:style w:type="paragraph" w:customStyle="1" w:styleId="22">
    <w:name w:val="Default"/>
    <w:qFormat/>
    <w:uiPriority w:val="0"/>
    <w:pPr>
      <w:widowControl w:val="0"/>
      <w:autoSpaceDE w:val="0"/>
      <w:autoSpaceDN w:val="0"/>
      <w:adjustRightInd w:val="0"/>
    </w:pPr>
    <w:rPr>
      <w:rFonts w:ascii="Arial" w:hAnsi="Arial" w:eastAsia="宋体" w:cs="Arial"/>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5A395F0-BDC6-4B2A-AB0A-454A4D7AF79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398</Words>
  <Characters>2270</Characters>
  <Lines>18</Lines>
  <Paragraphs>5</Paragraphs>
  <TotalTime>7</TotalTime>
  <ScaleCrop>false</ScaleCrop>
  <LinksUpToDate>false</LinksUpToDate>
  <CharactersWithSpaces>2663</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2018-10-26T00:11:00Z</dcterms:created>
  <dc:creator>Microsoft</dc:creator>
  <cp:lastModifiedBy>痕迹</cp:lastModifiedBy>
  <cp:lastPrinted>2020-05-15T00:15:00Z</cp:lastPrinted>
  <dcterms:modified xsi:type="dcterms:W3CDTF">2020-11-06T03:00:22Z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