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lang w:eastAsia="zh-CN"/>
        </w:rPr>
      </w:pPr>
      <w:r>
        <w:rPr>
          <w:rFonts w:hint="eastAsia" w:ascii="仿宋_GB2312" w:hAnsi="仿宋_GB2312" w:eastAsia="仿宋_GB2312" w:cs="仿宋_GB2312"/>
          <w:b/>
          <w:bCs/>
          <w:sz w:val="28"/>
          <w:szCs w:val="28"/>
          <w:lang w:val="en-US" w:eastAsia="zh-CN"/>
        </w:rPr>
        <w:t>附件1:</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rPr>
        <w:t>项目服务、商务及其他要求</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2"/>
        <w:rPr>
          <w:rFonts w:hint="eastAsia" w:ascii="宋体" w:hAnsi="宋体" w:eastAsia="宋体" w:cs="宋体"/>
          <w:b/>
          <w:color w:val="auto"/>
          <w:sz w:val="24"/>
          <w:szCs w:val="24"/>
          <w:lang w:eastAsia="zh-CN"/>
        </w:rPr>
      </w:pPr>
      <w:r>
        <w:rPr>
          <w:rFonts w:hint="eastAsia" w:ascii="宋体" w:hAnsi="宋体" w:eastAsia="宋体" w:cs="宋体"/>
          <w:b/>
          <w:color w:val="auto"/>
          <w:sz w:val="24"/>
          <w:szCs w:val="24"/>
        </w:rPr>
        <w:t>一、项目服务要求</w:t>
      </w:r>
      <w:r>
        <w:rPr>
          <w:rFonts w:hint="eastAsia" w:ascii="宋体" w:hAnsi="宋体" w:eastAsia="宋体" w:cs="宋体"/>
          <w:b/>
          <w:color w:val="auto"/>
          <w:sz w:val="24"/>
          <w:szCs w:val="24"/>
          <w:lang w:eastAsia="zh-CN"/>
        </w:rPr>
        <w:t>：</w:t>
      </w:r>
    </w:p>
    <w:p>
      <w:pPr>
        <w:pStyle w:val="2"/>
        <w:keepNext w:val="0"/>
        <w:keepLines w:val="0"/>
        <w:pageBreakBefore w:val="0"/>
        <w:widowControl w:val="0"/>
        <w:kinsoku/>
        <w:wordWrap/>
        <w:overflowPunct/>
        <w:topLinePunct w:val="0"/>
        <w:autoSpaceDE/>
        <w:autoSpaceDN/>
        <w:bidi w:val="0"/>
        <w:adjustRightInd/>
        <w:snapToGrid/>
        <w:spacing w:after="0" w:line="440" w:lineRule="exact"/>
        <w:textAlignment w:val="auto"/>
        <w:rPr>
          <w:rFonts w:hint="eastAsia" w:ascii="宋体" w:hAnsi="宋体" w:eastAsia="宋体" w:cs="宋体"/>
          <w:b w:val="0"/>
          <w:bCs/>
          <w:color w:val="auto"/>
          <w:sz w:val="24"/>
          <w:szCs w:val="24"/>
          <w:lang w:val="en-US" w:eastAsia="zh-CN"/>
        </w:rPr>
      </w:pPr>
      <w:r>
        <w:rPr>
          <w:rFonts w:hint="eastAsia" w:ascii="宋体" w:hAnsi="宋体" w:eastAsia="宋体" w:cs="宋体"/>
          <w:b/>
          <w:color w:val="auto"/>
          <w:sz w:val="24"/>
          <w:szCs w:val="24"/>
          <w:lang w:val="en-US" w:eastAsia="zh-CN"/>
        </w:rPr>
        <w:t xml:space="preserve">  </w:t>
      </w:r>
      <w:r>
        <w:rPr>
          <w:rFonts w:hint="eastAsia" w:ascii="宋体" w:hAnsi="宋体" w:eastAsia="宋体" w:cs="宋体"/>
          <w:b w:val="0"/>
          <w:bCs/>
          <w:color w:val="auto"/>
          <w:sz w:val="24"/>
          <w:szCs w:val="24"/>
          <w:lang w:val="en-US" w:eastAsia="zh-CN"/>
        </w:rPr>
        <w:t>为确保医院业务工作正常开展和医疗安全，遂宁市中医院拟对医院手术室、眼科手术室、制剂室、供应室净化系统进行维护保养，相应的层流过滤器滤网及其他配件更换频次依据洁净手术室国家标准及实际使用情况</w:t>
      </w:r>
      <w:r>
        <w:rPr>
          <w:rFonts w:hint="eastAsia" w:hAnsi="宋体" w:cs="宋体"/>
          <w:b w:val="0"/>
          <w:bCs/>
          <w:color w:val="auto"/>
          <w:sz w:val="24"/>
          <w:szCs w:val="24"/>
          <w:lang w:val="en-US" w:eastAsia="zh-CN"/>
        </w:rPr>
        <w:t>进行更换。</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color w:val="auto"/>
          <w:sz w:val="24"/>
          <w:szCs w:val="24"/>
          <w:lang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lang w:eastAsia="zh-CN"/>
        </w:rPr>
        <w:t>二、</w:t>
      </w:r>
      <w:r>
        <w:rPr>
          <w:rFonts w:hint="eastAsia" w:ascii="宋体" w:hAnsi="宋体" w:eastAsia="宋体" w:cs="宋体"/>
          <w:b/>
          <w:color w:val="auto"/>
          <w:sz w:val="24"/>
          <w:szCs w:val="24"/>
        </w:rPr>
        <w:t>净化系统维保服务范围及</w:t>
      </w:r>
      <w:r>
        <w:rPr>
          <w:rFonts w:hint="eastAsia" w:ascii="宋体" w:hAnsi="宋体" w:eastAsia="宋体" w:cs="宋体"/>
          <w:b/>
          <w:color w:val="auto"/>
          <w:sz w:val="24"/>
          <w:szCs w:val="24"/>
          <w:lang w:eastAsia="zh-CN"/>
        </w:rPr>
        <w:t>技术</w:t>
      </w:r>
      <w:r>
        <w:rPr>
          <w:rFonts w:hint="eastAsia" w:ascii="宋体" w:hAnsi="宋体" w:eastAsia="宋体" w:cs="宋体"/>
          <w:b/>
          <w:color w:val="auto"/>
          <w:sz w:val="24"/>
          <w:szCs w:val="24"/>
        </w:rPr>
        <w:t>要求：</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一）服务区域及主要维保内容：</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1）维保区域：</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1.1</w:t>
      </w:r>
      <w:r>
        <w:rPr>
          <w:rFonts w:hint="eastAsia" w:ascii="宋体" w:hAnsi="宋体" w:eastAsia="宋体" w:cs="宋体"/>
          <w:color w:val="auto"/>
          <w:sz w:val="24"/>
          <w:szCs w:val="24"/>
        </w:rPr>
        <w:t>手术部及相关辅助用房</w:t>
      </w:r>
      <w:r>
        <w:rPr>
          <w:rFonts w:hint="eastAsia" w:ascii="宋体" w:hAnsi="宋体" w:eastAsia="宋体" w:cs="宋体"/>
          <w:color w:val="auto"/>
          <w:sz w:val="24"/>
          <w:szCs w:val="24"/>
          <w:lang w:eastAsia="zh-CN"/>
        </w:rPr>
        <w:t>净化系统区域</w:t>
      </w:r>
      <w:r>
        <w:rPr>
          <w:rFonts w:hint="eastAsia" w:hAnsi="宋体" w:cs="宋体"/>
          <w:color w:val="auto"/>
          <w:sz w:val="24"/>
          <w:szCs w:val="24"/>
          <w:lang w:eastAsia="zh-CN"/>
        </w:rPr>
        <w:t>（普通手术室不在此维护范围内）</w:t>
      </w:r>
      <w:r>
        <w:rPr>
          <w:rFonts w:hint="eastAsia" w:ascii="宋体" w:hAnsi="宋体" w:eastAsia="宋体" w:cs="宋体"/>
          <w:color w:val="auto"/>
          <w:sz w:val="24"/>
          <w:szCs w:val="24"/>
        </w:rPr>
        <w:t>；</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lang w:eastAsia="zh-CN"/>
        </w:rPr>
        <w:t>眼科手术室</w:t>
      </w:r>
      <w:r>
        <w:rPr>
          <w:rFonts w:hint="eastAsia" w:ascii="宋体" w:hAnsi="宋体" w:eastAsia="宋体" w:cs="宋体"/>
          <w:color w:val="auto"/>
          <w:sz w:val="24"/>
          <w:szCs w:val="24"/>
        </w:rPr>
        <w:t>及相关辅助用房</w:t>
      </w:r>
      <w:r>
        <w:rPr>
          <w:rFonts w:hint="eastAsia" w:ascii="宋体" w:hAnsi="宋体" w:eastAsia="宋体" w:cs="宋体"/>
          <w:color w:val="auto"/>
          <w:sz w:val="24"/>
          <w:szCs w:val="24"/>
          <w:lang w:eastAsia="zh-CN"/>
        </w:rPr>
        <w:t>净化系统区域</w:t>
      </w:r>
      <w:r>
        <w:rPr>
          <w:rFonts w:hint="eastAsia" w:ascii="宋体" w:hAnsi="宋体" w:eastAsia="宋体" w:cs="宋体"/>
          <w:color w:val="auto"/>
          <w:sz w:val="24"/>
          <w:szCs w:val="24"/>
        </w:rPr>
        <w:t>；</w:t>
      </w:r>
    </w:p>
    <w:p>
      <w:pPr>
        <w:pStyle w:val="2"/>
        <w:keepNext w:val="0"/>
        <w:keepLines w:val="0"/>
        <w:pageBreakBefore w:val="0"/>
        <w:widowControl w:val="0"/>
        <w:kinsoku/>
        <w:wordWrap/>
        <w:overflowPunct/>
        <w:topLinePunct w:val="0"/>
        <w:autoSpaceDE/>
        <w:autoSpaceDN/>
        <w:bidi w:val="0"/>
        <w:adjustRightInd/>
        <w:snapToGrid/>
        <w:spacing w:after="0"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1.3制剂室净化系统区域；</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1.4供应室净化系统区域；</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2）维保主要内容：</w:t>
      </w:r>
    </w:p>
    <w:tbl>
      <w:tblPr>
        <w:tblStyle w:val="11"/>
        <w:tblW w:w="9795" w:type="dxa"/>
        <w:tblInd w:w="-692" w:type="dxa"/>
        <w:tblLayout w:type="fixed"/>
        <w:tblCellMar>
          <w:top w:w="0" w:type="dxa"/>
          <w:left w:w="108" w:type="dxa"/>
          <w:bottom w:w="0" w:type="dxa"/>
          <w:right w:w="108" w:type="dxa"/>
        </w:tblCellMar>
      </w:tblPr>
      <w:tblGrid>
        <w:gridCol w:w="519"/>
        <w:gridCol w:w="3036"/>
        <w:gridCol w:w="2190"/>
        <w:gridCol w:w="1695"/>
        <w:gridCol w:w="2355"/>
      </w:tblGrid>
      <w:tr>
        <w:tblPrEx>
          <w:tblCellMar>
            <w:top w:w="0" w:type="dxa"/>
            <w:left w:w="108" w:type="dxa"/>
            <w:bottom w:w="0" w:type="dxa"/>
            <w:right w:w="108" w:type="dxa"/>
          </w:tblCellMar>
        </w:tblPrEx>
        <w:trPr>
          <w:trHeight w:val="70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b/>
                <w:color w:val="auto"/>
                <w:sz w:val="24"/>
                <w:szCs w:val="24"/>
              </w:rPr>
            </w:pPr>
            <w:r>
              <w:rPr>
                <w:rFonts w:hint="eastAsia" w:ascii="宋体" w:hAnsi="宋体" w:eastAsia="宋体" w:cs="宋体"/>
                <w:b/>
                <w:color w:val="auto"/>
                <w:sz w:val="24"/>
                <w:szCs w:val="24"/>
              </w:rPr>
              <w:t>维护保养项目</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b/>
                <w:color w:val="auto"/>
                <w:sz w:val="24"/>
                <w:szCs w:val="24"/>
              </w:rPr>
            </w:pPr>
            <w:r>
              <w:rPr>
                <w:rFonts w:hint="eastAsia" w:ascii="宋体" w:hAnsi="宋体" w:eastAsia="宋体" w:cs="宋体"/>
                <w:b/>
                <w:color w:val="auto"/>
                <w:sz w:val="24"/>
                <w:szCs w:val="24"/>
              </w:rPr>
              <w:t>维护保养内容</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b/>
                <w:color w:val="auto"/>
                <w:sz w:val="24"/>
                <w:szCs w:val="24"/>
              </w:rPr>
            </w:pPr>
            <w:r>
              <w:rPr>
                <w:rFonts w:hint="eastAsia" w:ascii="宋体" w:hAnsi="宋体" w:eastAsia="宋体" w:cs="宋体"/>
                <w:b/>
                <w:color w:val="auto"/>
                <w:sz w:val="24"/>
                <w:szCs w:val="24"/>
              </w:rPr>
              <w:t>维护频率</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b/>
                <w:color w:val="auto"/>
                <w:sz w:val="24"/>
                <w:szCs w:val="24"/>
              </w:rPr>
            </w:pPr>
            <w:r>
              <w:rPr>
                <w:rFonts w:hint="eastAsia" w:ascii="宋体" w:hAnsi="宋体" w:eastAsia="宋体" w:cs="宋体"/>
                <w:b/>
                <w:color w:val="auto"/>
                <w:sz w:val="24"/>
                <w:szCs w:val="24"/>
              </w:rPr>
              <w:t>备注</w:t>
            </w: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模块机组（冷热源机组）</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检查维护保养</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净化型新风机组</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检查维护保养</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净化型循环机组</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检查维护保养</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控制系统</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检查维护保养</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送风管路系统</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检查维护保养</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670"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控制面板、中央控制器、电动感应门、洗手池、墙面、</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ind w:firstLine="480" w:firstLineChars="200"/>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检查维修</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1000"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洁净区域的温湿度、等级压差、送回风口风速、尘埃粒子数、房间照度、室内噪声</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检测、出报告(公司自检）</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每季</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每次检测需通知相关科室，且每次检测报告需交医院备案</w:t>
            </w:r>
          </w:p>
        </w:tc>
      </w:tr>
      <w:tr>
        <w:tblPrEx>
          <w:tblCellMar>
            <w:top w:w="0" w:type="dxa"/>
            <w:left w:w="108" w:type="dxa"/>
            <w:bottom w:w="0" w:type="dxa"/>
            <w:right w:w="108" w:type="dxa"/>
          </w:tblCellMar>
        </w:tblPrEx>
        <w:trPr>
          <w:trHeight w:val="599" w:hRule="atLeast"/>
        </w:trPr>
        <w:tc>
          <w:tcPr>
            <w:tcW w:w="5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3036"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更换配件</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500元以内配件</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自然坏掉时（使用寿命达到）</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维保单位购置</w:t>
            </w:r>
          </w:p>
        </w:tc>
      </w:tr>
      <w:tr>
        <w:tblPrEx>
          <w:tblCellMar>
            <w:top w:w="0" w:type="dxa"/>
            <w:left w:w="108" w:type="dxa"/>
            <w:bottom w:w="0" w:type="dxa"/>
            <w:right w:w="108"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303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500元以上配件</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自然坏掉时（使用寿命达到）</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院方购置</w:t>
            </w:r>
          </w:p>
        </w:tc>
      </w:tr>
      <w:tr>
        <w:tblPrEx>
          <w:tblCellMar>
            <w:top w:w="0" w:type="dxa"/>
            <w:left w:w="108" w:type="dxa"/>
            <w:bottom w:w="0" w:type="dxa"/>
            <w:right w:w="108" w:type="dxa"/>
          </w:tblCellMar>
        </w:tblPrEx>
        <w:trPr>
          <w:trHeight w:val="285" w:hRule="atLeast"/>
        </w:trPr>
        <w:tc>
          <w:tcPr>
            <w:tcW w:w="5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3036"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净化型新风机组、净化型循环机组风柜中初效过滤器</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清洁</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维护公司清洁</w:t>
            </w:r>
          </w:p>
        </w:tc>
      </w:tr>
      <w:tr>
        <w:tblPrEx>
          <w:tblCellMar>
            <w:top w:w="0" w:type="dxa"/>
            <w:left w:w="108" w:type="dxa"/>
            <w:bottom w:w="0" w:type="dxa"/>
            <w:right w:w="108" w:type="dxa"/>
          </w:tblCellMar>
        </w:tblPrEx>
        <w:trPr>
          <w:trHeight w:val="570" w:hRule="atLeast"/>
        </w:trPr>
        <w:tc>
          <w:tcPr>
            <w:tcW w:w="5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303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更换（维护公司购买）</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每三个月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发生污染和堵塞及时更换</w:t>
            </w:r>
          </w:p>
        </w:tc>
      </w:tr>
      <w:tr>
        <w:tblPrEx>
          <w:tblCellMar>
            <w:top w:w="0" w:type="dxa"/>
            <w:left w:w="108" w:type="dxa"/>
            <w:bottom w:w="0" w:type="dxa"/>
            <w:right w:w="108" w:type="dxa"/>
          </w:tblCellMar>
        </w:tblPrEx>
        <w:trPr>
          <w:trHeight w:val="285" w:hRule="atLeast"/>
        </w:trPr>
        <w:tc>
          <w:tcPr>
            <w:tcW w:w="5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3036"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净化型新风机组、净化型循环机组风柜中中效过滤器</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570" w:hRule="atLeast"/>
        </w:trPr>
        <w:tc>
          <w:tcPr>
            <w:tcW w:w="5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303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更换（维护公司购买）</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每六个月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发生污染和堵塞及时更换</w:t>
            </w:r>
          </w:p>
        </w:tc>
      </w:tr>
      <w:tr>
        <w:tblPrEx>
          <w:tblCellMar>
            <w:top w:w="0" w:type="dxa"/>
            <w:left w:w="108" w:type="dxa"/>
            <w:bottom w:w="0" w:type="dxa"/>
            <w:right w:w="108" w:type="dxa"/>
          </w:tblCellMar>
        </w:tblPrEx>
        <w:trPr>
          <w:trHeight w:val="464"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亚高效过滤器</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更换（维护公司购买）</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每年</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发生污染和堵塞及时更换</w:t>
            </w:r>
          </w:p>
        </w:tc>
      </w:tr>
      <w:tr>
        <w:tblPrEx>
          <w:tblCellMar>
            <w:top w:w="0" w:type="dxa"/>
            <w:left w:w="108" w:type="dxa"/>
            <w:bottom w:w="0" w:type="dxa"/>
            <w:right w:w="108" w:type="dxa"/>
          </w:tblCellMar>
        </w:tblPrEx>
        <w:trPr>
          <w:trHeight w:val="285" w:hRule="atLeast"/>
        </w:trPr>
        <w:tc>
          <w:tcPr>
            <w:tcW w:w="5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12</w:t>
            </w:r>
          </w:p>
        </w:tc>
        <w:tc>
          <w:tcPr>
            <w:tcW w:w="3036"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末端高效过滤器</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每三个月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746" w:hRule="atLeast"/>
        </w:trPr>
        <w:tc>
          <w:tcPr>
            <w:tcW w:w="5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303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更换（维护公司购买）</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二年</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阻力超过设计初阻力160Pa或使用二年以上时更换</w:t>
            </w:r>
          </w:p>
        </w:tc>
      </w:tr>
      <w:tr>
        <w:tblPrEx>
          <w:tblCellMar>
            <w:top w:w="0" w:type="dxa"/>
            <w:left w:w="108" w:type="dxa"/>
            <w:bottom w:w="0" w:type="dxa"/>
            <w:right w:w="108" w:type="dxa"/>
          </w:tblCellMar>
        </w:tblPrEx>
        <w:trPr>
          <w:trHeight w:val="570"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13</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排风机中的过滤器</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更换（维护公司购买）</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每六个月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发生污染和堵塞及时更换</w:t>
            </w:r>
          </w:p>
        </w:tc>
      </w:tr>
      <w:tr>
        <w:tblPrEx>
          <w:tblCellMar>
            <w:top w:w="0" w:type="dxa"/>
            <w:left w:w="108" w:type="dxa"/>
            <w:bottom w:w="0" w:type="dxa"/>
            <w:right w:w="108" w:type="dxa"/>
          </w:tblCellMar>
        </w:tblPrEx>
        <w:trPr>
          <w:trHeight w:val="335" w:hRule="atLeast"/>
        </w:trPr>
        <w:tc>
          <w:tcPr>
            <w:tcW w:w="5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14</w:t>
            </w:r>
          </w:p>
        </w:tc>
        <w:tc>
          <w:tcPr>
            <w:tcW w:w="3036"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回风口过滤器</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清洁</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left"/>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570" w:hRule="atLeast"/>
        </w:trPr>
        <w:tc>
          <w:tcPr>
            <w:tcW w:w="5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303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更换（维护公司购买）</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w:t>
            </w:r>
            <w:r>
              <w:rPr>
                <w:rFonts w:hint="eastAsia" w:ascii="宋体" w:hAnsi="宋体" w:eastAsia="宋体" w:cs="宋体"/>
                <w:color w:val="auto"/>
                <w:sz w:val="24"/>
                <w:szCs w:val="24"/>
                <w:lang w:eastAsia="zh-CN"/>
              </w:rPr>
              <w:t>三</w:t>
            </w:r>
            <w:r>
              <w:rPr>
                <w:rFonts w:hint="eastAsia" w:ascii="宋体" w:hAnsi="宋体" w:eastAsia="宋体" w:cs="宋体"/>
                <w:color w:val="auto"/>
                <w:sz w:val="24"/>
                <w:szCs w:val="24"/>
              </w:rPr>
              <w:t>个月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发生污染和堵塞及时更换</w:t>
            </w: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15</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加湿系统</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285" w:hRule="atLeast"/>
        </w:trPr>
        <w:tc>
          <w:tcPr>
            <w:tcW w:w="5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16</w:t>
            </w:r>
          </w:p>
        </w:tc>
        <w:tc>
          <w:tcPr>
            <w:tcW w:w="3036"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风机盘管系统（如有）</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检查电磁阀</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570" w:hRule="atLeast"/>
        </w:trPr>
        <w:tc>
          <w:tcPr>
            <w:tcW w:w="5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303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检查风机盘管和积水盘</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303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宋体" w:hAnsi="宋体" w:eastAsia="宋体" w:cs="宋体"/>
                <w:color w:val="auto"/>
                <w:sz w:val="24"/>
                <w:szCs w:val="24"/>
              </w:rPr>
            </w:pP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检查新风量</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每三月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17</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智能化控制系统</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检查、保养</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出现问题及时解决</w:t>
            </w: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18</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回风口吸尘</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每三月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570"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19</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PVC地面</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检查、维修</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如有开裂、脱胶及时弥补</w:t>
            </w: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20</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管道保温材料</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检查、维修</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每三个月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弥补脱胶、破损</w:t>
            </w:r>
          </w:p>
        </w:tc>
      </w:tr>
      <w:tr>
        <w:tblPrEx>
          <w:tblCellMar>
            <w:top w:w="0" w:type="dxa"/>
            <w:left w:w="108" w:type="dxa"/>
            <w:bottom w:w="0" w:type="dxa"/>
            <w:right w:w="108" w:type="dxa"/>
          </w:tblCellMar>
        </w:tblPrEx>
        <w:trPr>
          <w:trHeight w:val="570"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21</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强弱电系统（如监控系统、门禁系统、音乐）</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例检</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560"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22</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组合式空调箱内风机、电机、表冷器</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例检</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每三月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285"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23</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风道</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防漏检查</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每六个月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570"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24</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送回风阀门、防火阀门</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润滑、清洗</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每六个月</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r>
        <w:tblPrEx>
          <w:tblCellMar>
            <w:top w:w="0" w:type="dxa"/>
            <w:left w:w="108" w:type="dxa"/>
            <w:bottom w:w="0" w:type="dxa"/>
            <w:right w:w="108" w:type="dxa"/>
          </w:tblCellMar>
        </w:tblPrEx>
        <w:trPr>
          <w:trHeight w:val="324" w:hRule="atLeast"/>
        </w:trPr>
        <w:tc>
          <w:tcPr>
            <w:tcW w:w="519"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25</w:t>
            </w:r>
          </w:p>
        </w:tc>
        <w:tc>
          <w:tcPr>
            <w:tcW w:w="3036"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模块机组、新风机组、循环机组</w:t>
            </w:r>
          </w:p>
        </w:tc>
        <w:tc>
          <w:tcPr>
            <w:tcW w:w="2190"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清洁</w:t>
            </w:r>
          </w:p>
        </w:tc>
        <w:tc>
          <w:tcPr>
            <w:tcW w:w="169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widowControl/>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每年</w:t>
            </w:r>
          </w:p>
        </w:tc>
        <w:tc>
          <w:tcPr>
            <w:tcW w:w="235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jc w:val="center"/>
              <w:rPr>
                <w:rFonts w:hint="eastAsia" w:ascii="宋体" w:hAnsi="宋体" w:eastAsia="宋体" w:cs="宋体"/>
                <w:color w:val="auto"/>
                <w:sz w:val="24"/>
                <w:szCs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hAnsi="宋体" w:cs="宋体"/>
          <w:color w:val="auto"/>
          <w:sz w:val="24"/>
          <w:szCs w:val="24"/>
          <w:lang w:eastAsia="zh-CN"/>
        </w:rPr>
        <w:t>、</w:t>
      </w:r>
      <w:r>
        <w:rPr>
          <w:rFonts w:hint="eastAsia" w:ascii="宋体" w:hAnsi="宋体" w:eastAsia="宋体" w:cs="宋体"/>
          <w:color w:val="auto"/>
          <w:sz w:val="24"/>
          <w:szCs w:val="24"/>
        </w:rPr>
        <w:t>检测调试</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对手术室尘埃粒子、温度、湿度、风速、换气次数、等级级压、照度、噪声差等主要指标每季度检测一次，并按规范进行维护和调试（此项为公司自检，目的为确保医院手术室相关技术参数达到要求）。</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cs="宋体"/>
          <w:color w:val="auto"/>
          <w:sz w:val="24"/>
          <w:szCs w:val="24"/>
          <w:lang w:eastAsia="zh-CN"/>
        </w:rPr>
      </w:pPr>
      <w:r>
        <w:rPr>
          <w:rFonts w:hint="eastAsia" w:ascii="宋体" w:hAnsi="宋体" w:eastAsia="宋体" w:cs="宋体"/>
          <w:color w:val="auto"/>
          <w:sz w:val="24"/>
          <w:szCs w:val="24"/>
        </w:rPr>
        <w:t>★4）</w:t>
      </w:r>
      <w:r>
        <w:rPr>
          <w:rFonts w:hint="eastAsia" w:hAnsi="宋体" w:cs="宋体"/>
          <w:color w:val="auto"/>
          <w:sz w:val="24"/>
          <w:szCs w:val="24"/>
          <w:lang w:eastAsia="zh-CN"/>
        </w:rPr>
        <w:t>、过滤器及配件更换：</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hAnsi="宋体" w:cs="宋体"/>
          <w:color w:val="auto"/>
          <w:sz w:val="24"/>
          <w:szCs w:val="24"/>
          <w:lang w:eastAsia="zh-CN"/>
        </w:rPr>
      </w:pPr>
      <w:r>
        <w:rPr>
          <w:rFonts w:hint="eastAsia" w:hAnsi="宋体" w:cs="宋体"/>
          <w:color w:val="auto"/>
          <w:sz w:val="24"/>
          <w:szCs w:val="24"/>
          <w:lang w:val="en-US" w:eastAsia="zh-CN"/>
        </w:rPr>
        <w:t>4.1、</w:t>
      </w:r>
      <w:r>
        <w:rPr>
          <w:rFonts w:hint="eastAsia" w:ascii="宋体" w:hAnsi="宋体" w:eastAsia="宋体" w:cs="宋体"/>
          <w:color w:val="auto"/>
          <w:sz w:val="24"/>
          <w:szCs w:val="24"/>
        </w:rPr>
        <w:t>过滤器由维护公司购买，</w:t>
      </w:r>
      <w:r>
        <w:rPr>
          <w:rFonts w:hint="eastAsia" w:hAnsi="宋体" w:cs="宋体"/>
          <w:color w:val="auto"/>
          <w:sz w:val="24"/>
          <w:szCs w:val="24"/>
          <w:lang w:eastAsia="zh-CN"/>
        </w:rPr>
        <w:t>并按规定进行更换；</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hAnsi="宋体" w:cs="宋体"/>
          <w:color w:val="auto"/>
          <w:sz w:val="24"/>
          <w:szCs w:val="24"/>
          <w:lang w:val="en-US" w:eastAsia="zh-CN"/>
        </w:rPr>
        <w:t>4.2、</w:t>
      </w:r>
      <w:r>
        <w:rPr>
          <w:rFonts w:hint="eastAsia" w:ascii="宋体" w:hAnsi="宋体" w:eastAsia="宋体" w:cs="宋体"/>
          <w:color w:val="auto"/>
          <w:sz w:val="24"/>
          <w:szCs w:val="24"/>
        </w:rPr>
        <w:t>维护过程中如果配件自然损坏，500元内配件由维护公司购买，500元以上上报院方，由医院购买。</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5）管理服务</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对医院手术室的使用提供技术指导和技术支持，建立手术室运行、管理文件档案等。每次维保的所有工作记录应经甲乙双方代表签字确认，双方留档保存。</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w:t>
      </w:r>
      <w:r>
        <w:rPr>
          <w:rFonts w:hint="eastAsia" w:ascii="宋体" w:hAnsi="宋体" w:eastAsia="宋体" w:cs="宋体"/>
          <w:b/>
          <w:color w:val="auto"/>
          <w:sz w:val="24"/>
          <w:szCs w:val="24"/>
        </w:rPr>
        <w:t>二）维护质量要求：</w:t>
      </w:r>
    </w:p>
    <w:p>
      <w:pPr>
        <w:keepNext w:val="0"/>
        <w:keepLines w:val="0"/>
        <w:pageBreakBefore w:val="0"/>
        <w:widowControl w:val="0"/>
        <w:kinsoku/>
        <w:wordWrap/>
        <w:overflowPunct/>
        <w:topLinePunct w:val="0"/>
        <w:autoSpaceDE/>
        <w:autoSpaceDN/>
        <w:bidi w:val="0"/>
        <w:adjustRightInd/>
        <w:snapToGrid/>
        <w:spacing w:line="440" w:lineRule="exact"/>
        <w:ind w:firstLine="241" w:firstLineChars="100"/>
        <w:textAlignment w:val="auto"/>
        <w:rPr>
          <w:rFonts w:hint="eastAsia" w:ascii="宋体" w:hAnsi="宋体" w:eastAsia="宋体" w:cs="宋体"/>
          <w:color w:val="auto"/>
          <w:sz w:val="24"/>
          <w:szCs w:val="24"/>
        </w:rPr>
      </w:pPr>
      <w:r>
        <w:rPr>
          <w:rFonts w:hint="eastAsia" w:ascii="宋体" w:hAnsi="宋体" w:eastAsia="宋体" w:cs="宋体"/>
          <w:b/>
          <w:color w:val="auto"/>
          <w:sz w:val="24"/>
          <w:szCs w:val="24"/>
        </w:rPr>
        <w:t>1）、总体要求：</w:t>
      </w:r>
      <w:r>
        <w:rPr>
          <w:rFonts w:hint="eastAsia" w:ascii="宋体" w:hAnsi="宋体" w:eastAsia="宋体" w:cs="宋体"/>
          <w:color w:val="auto"/>
          <w:sz w:val="24"/>
          <w:szCs w:val="24"/>
        </w:rPr>
        <w:t>满足《医院洁净手术部建筑技术规范》GB50333－2013相关技术要求，保证医院日常细菌检测和疾控中心年度检测验收合格，保证温度、湿度、压差等各项指标符合要求，确保净化设备设施正常工作运转。</w:t>
      </w:r>
    </w:p>
    <w:p>
      <w:pPr>
        <w:keepNext w:val="0"/>
        <w:keepLines w:val="0"/>
        <w:pageBreakBefore w:val="0"/>
        <w:widowControl w:val="0"/>
        <w:kinsoku/>
        <w:wordWrap/>
        <w:overflowPunct/>
        <w:topLinePunct w:val="0"/>
        <w:autoSpaceDE/>
        <w:autoSpaceDN/>
        <w:bidi w:val="0"/>
        <w:adjustRightInd/>
        <w:snapToGrid/>
        <w:spacing w:line="440" w:lineRule="exact"/>
        <w:ind w:firstLine="241" w:firstLineChars="100"/>
        <w:textAlignment w:val="auto"/>
        <w:rPr>
          <w:rFonts w:hint="eastAsia" w:ascii="宋体" w:hAnsi="宋体" w:eastAsia="宋体" w:cs="宋体"/>
          <w:color w:val="auto"/>
          <w:sz w:val="24"/>
          <w:szCs w:val="24"/>
        </w:rPr>
      </w:pPr>
      <w:r>
        <w:rPr>
          <w:rFonts w:hint="eastAsia" w:ascii="宋体" w:hAnsi="宋体" w:eastAsia="宋体" w:cs="宋体"/>
          <w:b/>
          <w:color w:val="auto"/>
          <w:sz w:val="24"/>
          <w:szCs w:val="24"/>
        </w:rPr>
        <w:t>2）、</w:t>
      </w:r>
      <w:r>
        <w:rPr>
          <w:rFonts w:hint="eastAsia" w:ascii="宋体" w:hAnsi="宋体" w:eastAsia="宋体" w:cs="宋体"/>
          <w:color w:val="auto"/>
          <w:sz w:val="24"/>
          <w:szCs w:val="24"/>
        </w:rPr>
        <w:t>投标人须书面承诺常规报修的响应时间为2小时，24小时到医院处理故障；紧急报修的响应时间为30分钟，12小时内到现场处理故障。</w:t>
      </w:r>
    </w:p>
    <w:p>
      <w:pPr>
        <w:pStyle w:val="2"/>
        <w:keepNext w:val="0"/>
        <w:keepLines w:val="0"/>
        <w:pageBreakBefore w:val="0"/>
        <w:widowControl w:val="0"/>
        <w:kinsoku/>
        <w:wordWrap/>
        <w:overflowPunct/>
        <w:topLinePunct w:val="0"/>
        <w:autoSpaceDE/>
        <w:autoSpaceDN/>
        <w:bidi w:val="0"/>
        <w:adjustRightInd/>
        <w:snapToGrid/>
        <w:spacing w:after="0" w:line="440" w:lineRule="exact"/>
        <w:ind w:firstLine="241" w:firstLineChars="100"/>
        <w:textAlignment w:val="auto"/>
        <w:rPr>
          <w:rFonts w:hint="eastAsia" w:ascii="宋体" w:hAnsi="宋体" w:eastAsia="宋体" w:cs="宋体"/>
          <w:color w:val="auto"/>
          <w:sz w:val="24"/>
          <w:szCs w:val="24"/>
        </w:rPr>
      </w:pPr>
      <w:r>
        <w:rPr>
          <w:rFonts w:hint="eastAsia" w:ascii="宋体" w:hAnsi="宋体" w:eastAsia="宋体" w:cs="宋体"/>
          <w:b/>
          <w:color w:val="auto"/>
          <w:sz w:val="24"/>
          <w:szCs w:val="24"/>
        </w:rPr>
        <w:t>3）、</w:t>
      </w:r>
      <w:r>
        <w:rPr>
          <w:rFonts w:hint="eastAsia" w:ascii="宋体" w:hAnsi="宋体" w:eastAsia="宋体" w:cs="宋体"/>
          <w:color w:val="auto"/>
          <w:sz w:val="24"/>
          <w:szCs w:val="24"/>
        </w:rPr>
        <w:t>投标人必须具有相关手术室检测设备，需提供设备清单。</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b/>
          <w:color w:val="auto"/>
          <w:sz w:val="24"/>
          <w:szCs w:val="24"/>
        </w:rPr>
        <w:t>三）服务方式：</w:t>
      </w:r>
      <w:r>
        <w:rPr>
          <w:rFonts w:hint="eastAsia" w:ascii="宋体" w:hAnsi="宋体" w:eastAsia="宋体" w:cs="宋体"/>
          <w:color w:val="auto"/>
          <w:sz w:val="24"/>
          <w:szCs w:val="24"/>
        </w:rPr>
        <w:t>技术维护+滤网</w:t>
      </w:r>
      <w:r>
        <w:rPr>
          <w:rFonts w:hint="eastAsia" w:ascii="宋体" w:hAnsi="宋体" w:eastAsia="宋体" w:cs="宋体"/>
          <w:color w:val="auto"/>
          <w:sz w:val="24"/>
          <w:szCs w:val="24"/>
          <w:lang w:eastAsia="zh-CN"/>
        </w:rPr>
        <w:t>更换</w:t>
      </w:r>
      <w:r>
        <w:rPr>
          <w:rFonts w:hint="eastAsia" w:ascii="宋体" w:hAnsi="宋体" w:eastAsia="宋体" w:cs="宋体"/>
          <w:color w:val="auto"/>
          <w:sz w:val="24"/>
          <w:szCs w:val="24"/>
        </w:rPr>
        <w:t>+500元以内配件</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包括手术室空调系统、净化系统所有维修、日常维护、保养、各种过滤器、臭氧发生器、各种维修配件的更换及材料（配套气密门系统：包括电动感应门以及气密门、弱电系统、手术室内配套内嵌设备、洗手池，装饰系统）等，日常净化效果监测等全部内容。</w:t>
      </w: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auto"/>
          <w:sz w:val="24"/>
          <w:szCs w:val="24"/>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三</w:t>
      </w:r>
      <w:r>
        <w:rPr>
          <w:rFonts w:hint="eastAsia" w:ascii="宋体" w:hAnsi="宋体" w:eastAsia="宋体" w:cs="宋体"/>
          <w:b/>
          <w:bCs/>
          <w:color w:val="auto"/>
          <w:sz w:val="24"/>
          <w:szCs w:val="24"/>
        </w:rPr>
        <w:t>、商务部分</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1、本项目包括手术室、</w:t>
      </w:r>
      <w:r>
        <w:rPr>
          <w:rFonts w:hint="eastAsia" w:ascii="宋体" w:hAnsi="宋体" w:eastAsia="宋体" w:cs="宋体"/>
          <w:color w:val="auto"/>
          <w:sz w:val="24"/>
          <w:szCs w:val="24"/>
          <w:lang w:eastAsia="zh-CN"/>
        </w:rPr>
        <w:t>眼科手术室、制剂室、供应室</w:t>
      </w:r>
      <w:r>
        <w:rPr>
          <w:rFonts w:hint="eastAsia" w:ascii="宋体" w:hAnsi="宋体" w:eastAsia="宋体" w:cs="宋体"/>
          <w:color w:val="auto"/>
          <w:sz w:val="24"/>
          <w:szCs w:val="24"/>
        </w:rPr>
        <w:t>净化空调系统维护保养，</w:t>
      </w:r>
      <w:r>
        <w:rPr>
          <w:rFonts w:hint="eastAsia" w:ascii="宋体" w:hAnsi="宋体" w:eastAsia="宋体" w:cs="宋体"/>
          <w:color w:val="auto"/>
          <w:sz w:val="24"/>
          <w:szCs w:val="24"/>
          <w:lang w:eastAsia="zh-CN"/>
        </w:rPr>
        <w:t>供应</w:t>
      </w:r>
      <w:r>
        <w:rPr>
          <w:rFonts w:hint="eastAsia" w:hAnsi="宋体" w:cs="宋体"/>
          <w:color w:val="auto"/>
          <w:sz w:val="24"/>
          <w:szCs w:val="24"/>
          <w:lang w:val="en-US" w:eastAsia="zh-CN"/>
        </w:rPr>
        <w:t>商</w:t>
      </w:r>
      <w:r>
        <w:rPr>
          <w:rFonts w:hint="eastAsia" w:ascii="宋体" w:hAnsi="宋体" w:eastAsia="宋体" w:cs="宋体"/>
          <w:color w:val="auto"/>
          <w:sz w:val="24"/>
          <w:szCs w:val="24"/>
          <w:lang w:eastAsia="zh-CN"/>
        </w:rPr>
        <w:t>应具有相关要求经营资质</w:t>
      </w:r>
      <w:r>
        <w:rPr>
          <w:rFonts w:hint="eastAsia" w:ascii="宋体" w:hAnsi="宋体" w:eastAsia="宋体" w:cs="宋体"/>
          <w:color w:val="auto"/>
          <w:sz w:val="24"/>
          <w:szCs w:val="24"/>
        </w:rPr>
        <w:t>；</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2、此项目为医院净化系统的维护保养项目，要求投标方结合医院现有</w:t>
      </w:r>
      <w:r>
        <w:rPr>
          <w:rFonts w:hint="eastAsia" w:ascii="宋体" w:hAnsi="宋体" w:eastAsia="宋体" w:cs="宋体"/>
          <w:color w:val="auto"/>
          <w:sz w:val="24"/>
          <w:szCs w:val="24"/>
          <w:lang w:eastAsia="zh-CN"/>
        </w:rPr>
        <w:t>净化系统</w:t>
      </w:r>
      <w:r>
        <w:rPr>
          <w:rFonts w:hint="eastAsia" w:ascii="宋体" w:hAnsi="宋体" w:eastAsia="宋体" w:cs="宋体"/>
          <w:color w:val="auto"/>
          <w:sz w:val="24"/>
          <w:szCs w:val="24"/>
        </w:rPr>
        <w:t>使用情况，合理提供服务方案；</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3、维护期限： </w:t>
      </w:r>
      <w:r>
        <w:rPr>
          <w:rFonts w:hint="eastAsia" w:hAnsi="宋体" w:cs="宋体"/>
          <w:color w:val="auto"/>
          <w:sz w:val="24"/>
          <w:szCs w:val="24"/>
          <w:lang w:eastAsia="zh-CN"/>
        </w:rPr>
        <w:t>二</w:t>
      </w:r>
      <w:r>
        <w:rPr>
          <w:rFonts w:hint="eastAsia" w:ascii="宋体" w:hAnsi="宋体" w:eastAsia="宋体" w:cs="宋体"/>
          <w:color w:val="auto"/>
          <w:sz w:val="24"/>
          <w:szCs w:val="24"/>
        </w:rPr>
        <w:t xml:space="preserve"> 年。</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4、维护地点：</w:t>
      </w:r>
      <w:r>
        <w:rPr>
          <w:rFonts w:hint="eastAsia" w:ascii="宋体" w:hAnsi="宋体" w:eastAsia="宋体" w:cs="宋体"/>
          <w:color w:val="auto"/>
          <w:sz w:val="24"/>
          <w:szCs w:val="24"/>
          <w:lang w:eastAsia="zh-CN"/>
        </w:rPr>
        <w:t>遂宁市中</w:t>
      </w:r>
      <w:r>
        <w:rPr>
          <w:rFonts w:hint="eastAsia" w:ascii="宋体" w:hAnsi="宋体" w:eastAsia="宋体" w:cs="宋体"/>
          <w:color w:val="auto"/>
          <w:sz w:val="24"/>
          <w:szCs w:val="24"/>
        </w:rPr>
        <w:t>医院内；</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default" w:eastAsia="宋体"/>
          <w:lang w:val="en-US" w:eastAsia="zh-CN"/>
        </w:rPr>
      </w:pPr>
      <w:r>
        <w:rPr>
          <w:rFonts w:hint="eastAsia" w:ascii="宋体" w:hAnsi="宋体" w:eastAsia="宋体" w:cs="宋体"/>
          <w:color w:val="auto"/>
          <w:sz w:val="24"/>
          <w:szCs w:val="24"/>
        </w:rPr>
        <w:t>5、投标供应商须具有相关技术人才及提供相关业绩；</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hAnsi="宋体" w:cs="宋体"/>
          <w:color w:val="auto"/>
          <w:sz w:val="24"/>
          <w:szCs w:val="24"/>
          <w:lang w:eastAsia="zh-CN"/>
        </w:rPr>
      </w:pPr>
      <w:r>
        <w:rPr>
          <w:rFonts w:hint="eastAsia" w:ascii="宋体" w:hAnsi="宋体" w:eastAsia="宋体" w:cs="宋体"/>
          <w:color w:val="auto"/>
          <w:sz w:val="24"/>
          <w:szCs w:val="24"/>
        </w:rPr>
        <w:t>6、付款方式：</w:t>
      </w:r>
      <w:r>
        <w:rPr>
          <w:rFonts w:hint="eastAsia" w:hAnsi="宋体" w:cs="宋体"/>
          <w:color w:val="auto"/>
          <w:sz w:val="24"/>
          <w:szCs w:val="24"/>
          <w:lang w:eastAsia="zh-CN"/>
        </w:rPr>
        <w:t>双方给定</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★7、售后要求：维护保养期内出现任何故障，一般故障供应商需 </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 xml:space="preserve"> 小时响应，</w:t>
      </w:r>
      <w:r>
        <w:rPr>
          <w:rFonts w:hint="eastAsia" w:ascii="宋体" w:hAnsi="宋体" w:eastAsia="宋体" w:cs="宋体"/>
          <w:color w:val="auto"/>
          <w:sz w:val="24"/>
          <w:szCs w:val="24"/>
          <w:lang w:val="en-US" w:eastAsia="zh-CN"/>
        </w:rPr>
        <w:t>24</w:t>
      </w:r>
      <w:r>
        <w:rPr>
          <w:rFonts w:hint="eastAsia" w:ascii="宋体" w:hAnsi="宋体" w:eastAsia="宋体" w:cs="宋体"/>
          <w:color w:val="auto"/>
          <w:sz w:val="24"/>
          <w:szCs w:val="24"/>
        </w:rPr>
        <w:t xml:space="preserve"> 小时内到达医院处理故障；出现紧急故障，应 </w:t>
      </w:r>
      <w:r>
        <w:rPr>
          <w:rFonts w:hint="eastAsia" w:hAnsi="宋体" w:cs="宋体"/>
          <w:color w:val="auto"/>
          <w:sz w:val="24"/>
          <w:szCs w:val="24"/>
          <w:lang w:val="en-US" w:eastAsia="zh-CN"/>
        </w:rPr>
        <w:t>30分钟</w:t>
      </w:r>
      <w:r>
        <w:rPr>
          <w:rFonts w:hint="eastAsia" w:ascii="宋体" w:hAnsi="宋体" w:eastAsia="宋体" w:cs="宋体"/>
          <w:color w:val="auto"/>
          <w:sz w:val="24"/>
          <w:szCs w:val="24"/>
        </w:rPr>
        <w:t>响应，</w:t>
      </w: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 xml:space="preserve"> 小时到现场处理故障；</w:t>
      </w:r>
    </w:p>
    <w:p>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8、技术咨询服务：维护期间，向客户所提供技术咨询服务，热线电话帮助服务。</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bCs/>
          <w:color w:val="auto"/>
          <w:sz w:val="24"/>
          <w:szCs w:val="24"/>
          <w:u w:val="single"/>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ascii="宋体" w:hAnsi="宋体" w:eastAsia="宋体" w:cs="宋体"/>
          <w:b/>
          <w:bCs/>
          <w:color w:val="auto"/>
          <w:sz w:val="24"/>
          <w:szCs w:val="24"/>
          <w:u w:val="single"/>
        </w:rPr>
        <w:t>说明：加注“★”号为实质性条款，不允许负偏离，否则视为无效投标；</w:t>
      </w:r>
    </w:p>
    <w:p>
      <w:pPr>
        <w:rPr>
          <w:rFonts w:hint="eastAsia"/>
          <w:lang w:eastAsia="zh-CN"/>
        </w:rPr>
      </w:pPr>
    </w:p>
    <w:p>
      <w:pPr>
        <w:rPr>
          <w:rFonts w:hint="eastAsia"/>
          <w:lang w:eastAsia="zh-CN"/>
        </w:rPr>
      </w:pPr>
    </w:p>
    <w:p>
      <w:pPr>
        <w:rPr>
          <w:rFonts w:hint="default"/>
          <w:lang w:val="en-US" w:eastAsia="zh-CN"/>
        </w:rPr>
      </w:pPr>
      <w:bookmarkStart w:id="0" w:name="_GoBack"/>
      <w:bookmarkEnd w:id="0"/>
      <w:r>
        <w:rPr>
          <w:rFonts w:hint="eastAsia"/>
          <w:lang w:eastAsia="zh-CN"/>
        </w:rPr>
        <w:t>附件</w:t>
      </w:r>
      <w:r>
        <w:rPr>
          <w:rFonts w:hint="eastAsia"/>
          <w:lang w:val="en-US" w:eastAsia="zh-CN"/>
        </w:rPr>
        <w:t>2：</w:t>
      </w:r>
    </w:p>
    <w:p>
      <w:pPr>
        <w:numPr>
          <w:ilvl w:val="0"/>
          <w:numId w:val="0"/>
        </w:numPr>
        <w:ind w:left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评分细则</w:t>
      </w:r>
      <w:r>
        <w:rPr>
          <w:rFonts w:hint="eastAsia" w:ascii="宋体" w:hAnsi="宋体" w:eastAsia="宋体" w:cs="宋体"/>
          <w:color w:val="auto"/>
          <w:sz w:val="24"/>
          <w:szCs w:val="24"/>
          <w:lang w:val="en-US" w:eastAsia="zh-CN"/>
        </w:rPr>
        <w:t>:</w:t>
      </w:r>
    </w:p>
    <w:tbl>
      <w:tblPr>
        <w:tblStyle w:val="11"/>
        <w:tblW w:w="9194"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6"/>
        <w:gridCol w:w="1320"/>
        <w:gridCol w:w="780"/>
        <w:gridCol w:w="614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1" w:hRule="atLeast"/>
        </w:trPr>
        <w:tc>
          <w:tcPr>
            <w:tcW w:w="946" w:type="dxa"/>
            <w:noWrap w:val="0"/>
            <w:vAlign w:val="center"/>
          </w:tcPr>
          <w:p>
            <w:pPr>
              <w:widowControl/>
              <w:jc w:val="center"/>
              <w:rPr>
                <w:rFonts w:hint="eastAsia" w:ascii="宋体" w:hAnsi="宋体" w:eastAsia="宋体" w:cs="宋体"/>
                <w:bCs/>
                <w:color w:val="auto"/>
                <w:sz w:val="24"/>
                <w:szCs w:val="24"/>
              </w:rPr>
            </w:pPr>
            <w:r>
              <w:rPr>
                <w:rFonts w:hint="eastAsia" w:ascii="宋体" w:hAnsi="宋体" w:eastAsia="宋体" w:cs="宋体"/>
                <w:iCs/>
                <w:color w:val="auto"/>
                <w:spacing w:val="-20"/>
                <w:sz w:val="24"/>
                <w:szCs w:val="24"/>
              </w:rPr>
              <w:t>项目及权重</w:t>
            </w:r>
          </w:p>
        </w:tc>
        <w:tc>
          <w:tcPr>
            <w:tcW w:w="1320"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iCs/>
                <w:color w:val="auto"/>
                <w:spacing w:val="-20"/>
                <w:sz w:val="24"/>
                <w:szCs w:val="24"/>
              </w:rPr>
              <w:t>评审内容</w:t>
            </w:r>
          </w:p>
        </w:tc>
        <w:tc>
          <w:tcPr>
            <w:tcW w:w="780" w:type="dxa"/>
            <w:noWrap w:val="0"/>
            <w:vAlign w:val="center"/>
          </w:tcPr>
          <w:p>
            <w:pPr>
              <w:snapToGrid w:val="0"/>
              <w:spacing w:line="200" w:lineRule="atLeast"/>
              <w:jc w:val="center"/>
              <w:rPr>
                <w:rFonts w:hint="eastAsia" w:ascii="宋体" w:hAnsi="宋体" w:eastAsia="宋体" w:cs="宋体"/>
                <w:iCs/>
                <w:color w:val="auto"/>
                <w:spacing w:val="-20"/>
                <w:sz w:val="24"/>
                <w:szCs w:val="24"/>
              </w:rPr>
            </w:pPr>
            <w:r>
              <w:rPr>
                <w:rFonts w:hint="eastAsia" w:ascii="宋体" w:hAnsi="宋体" w:eastAsia="宋体" w:cs="宋体"/>
                <w:iCs/>
                <w:color w:val="auto"/>
                <w:spacing w:val="-20"/>
                <w:sz w:val="24"/>
                <w:szCs w:val="24"/>
              </w:rPr>
              <w:t>分值</w:t>
            </w:r>
          </w:p>
        </w:tc>
        <w:tc>
          <w:tcPr>
            <w:tcW w:w="6148"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iCs/>
                <w:color w:val="auto"/>
                <w:spacing w:val="-20"/>
                <w:sz w:val="24"/>
                <w:szCs w:val="24"/>
              </w:rPr>
              <w:t>评价标准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65" w:hRule="atLeast"/>
        </w:trPr>
        <w:tc>
          <w:tcPr>
            <w:tcW w:w="946" w:type="dxa"/>
            <w:noWrap w:val="0"/>
            <w:vAlign w:val="center"/>
          </w:tcPr>
          <w:p>
            <w:pPr>
              <w:widowControl/>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价格评分</w:t>
            </w:r>
          </w:p>
          <w:p>
            <w:pPr>
              <w:widowControl/>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w:t>
            </w:r>
            <w:r>
              <w:rPr>
                <w:rFonts w:hint="eastAsia" w:hAnsi="宋体" w:cs="宋体"/>
                <w:bCs/>
                <w:color w:val="auto"/>
                <w:sz w:val="24"/>
                <w:szCs w:val="24"/>
                <w:lang w:val="en-US" w:eastAsia="zh-CN"/>
              </w:rPr>
              <w:t>30</w:t>
            </w:r>
            <w:r>
              <w:rPr>
                <w:rFonts w:hint="eastAsia" w:ascii="宋体" w:hAnsi="宋体" w:eastAsia="宋体" w:cs="宋体"/>
                <w:bCs/>
                <w:color w:val="auto"/>
                <w:sz w:val="24"/>
                <w:szCs w:val="24"/>
              </w:rPr>
              <w:t>%）</w:t>
            </w:r>
          </w:p>
        </w:tc>
        <w:tc>
          <w:tcPr>
            <w:tcW w:w="1320" w:type="dxa"/>
            <w:noWrap w:val="0"/>
            <w:vAlign w:val="center"/>
          </w:tcPr>
          <w:p>
            <w:pPr>
              <w:jc w:val="center"/>
              <w:rPr>
                <w:rFonts w:hint="eastAsia" w:ascii="宋体" w:hAnsi="宋体" w:eastAsia="宋体" w:cs="宋体"/>
                <w:color w:val="auto"/>
                <w:sz w:val="24"/>
                <w:szCs w:val="24"/>
              </w:rPr>
            </w:pPr>
            <w:r>
              <w:rPr>
                <w:rFonts w:hint="eastAsia" w:ascii="宋体" w:hAnsi="宋体" w:eastAsia="宋体" w:cs="宋体"/>
                <w:bCs/>
                <w:color w:val="auto"/>
                <w:sz w:val="24"/>
                <w:szCs w:val="24"/>
              </w:rPr>
              <w:t>有效供应商的最终报价</w:t>
            </w:r>
          </w:p>
        </w:tc>
        <w:tc>
          <w:tcPr>
            <w:tcW w:w="780" w:type="dxa"/>
            <w:noWrap w:val="0"/>
            <w:vAlign w:val="center"/>
          </w:tcPr>
          <w:p>
            <w:pPr>
              <w:jc w:val="center"/>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30</w:t>
            </w:r>
          </w:p>
        </w:tc>
        <w:tc>
          <w:tcPr>
            <w:tcW w:w="6148" w:type="dxa"/>
            <w:noWrap w:val="0"/>
            <w:vAlign w:val="center"/>
          </w:tcPr>
          <w:p>
            <w:pPr>
              <w:rPr>
                <w:rFonts w:hint="eastAsia" w:ascii="宋体" w:hAnsi="宋体" w:eastAsia="宋体" w:cs="宋体"/>
                <w:color w:val="auto"/>
                <w:sz w:val="24"/>
                <w:szCs w:val="24"/>
              </w:rPr>
            </w:pPr>
            <w:r>
              <w:rPr>
                <w:rFonts w:hint="eastAsia" w:ascii="宋体" w:hAnsi="宋体" w:eastAsia="宋体" w:cs="宋体"/>
                <w:color w:val="auto"/>
                <w:sz w:val="24"/>
                <w:szCs w:val="24"/>
              </w:rPr>
              <w:t>综合评分法中的价格分统一采用低价优先法计算，即满足谈判文件要求投标价格最低的投标报价为评标基准价，其价格分为满分。其他投标人的价格分统一按照下列公式计算：投标报价得分=（评标基准价/投标报价）×</w:t>
            </w:r>
            <w:r>
              <w:rPr>
                <w:rFonts w:hint="eastAsia" w:hAnsi="宋体" w:cs="宋体"/>
                <w:color w:val="auto"/>
                <w:sz w:val="24"/>
                <w:szCs w:val="24"/>
                <w:lang w:val="en-US" w:eastAsia="zh-CN"/>
              </w:rPr>
              <w:t>30</w:t>
            </w:r>
            <w:r>
              <w:rPr>
                <w:rFonts w:hint="eastAsia" w:ascii="宋体" w:hAnsi="宋体" w:eastAsia="宋体" w:cs="宋体"/>
                <w:color w:val="auto"/>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71" w:hRule="atLeast"/>
        </w:trPr>
        <w:tc>
          <w:tcPr>
            <w:tcW w:w="946" w:type="dxa"/>
            <w:vMerge w:val="restart"/>
            <w:noWrap w:val="0"/>
            <w:vAlign w:val="center"/>
          </w:tcPr>
          <w:p>
            <w:pPr>
              <w:widowControl/>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商务技术评分</w:t>
            </w:r>
          </w:p>
          <w:p>
            <w:pPr>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w:t>
            </w:r>
            <w:r>
              <w:rPr>
                <w:rFonts w:hint="eastAsia" w:hAnsi="宋体" w:cs="宋体"/>
                <w:bCs/>
                <w:color w:val="auto"/>
                <w:sz w:val="24"/>
                <w:szCs w:val="24"/>
                <w:lang w:val="en-US" w:eastAsia="zh-CN"/>
              </w:rPr>
              <w:t>6</w:t>
            </w:r>
            <w:r>
              <w:rPr>
                <w:rFonts w:hint="eastAsia" w:ascii="宋体" w:hAnsi="宋体" w:eastAsia="宋体" w:cs="宋体"/>
                <w:bCs/>
                <w:color w:val="auto"/>
                <w:sz w:val="24"/>
                <w:szCs w:val="24"/>
                <w:lang w:val="en-US" w:eastAsia="zh-CN"/>
              </w:rPr>
              <w:t>6</w:t>
            </w:r>
            <w:r>
              <w:rPr>
                <w:rFonts w:hint="eastAsia" w:ascii="宋体" w:hAnsi="宋体" w:eastAsia="宋体" w:cs="宋体"/>
                <w:bCs/>
                <w:color w:val="auto"/>
                <w:sz w:val="24"/>
                <w:szCs w:val="24"/>
              </w:rPr>
              <w:t>%)</w:t>
            </w:r>
          </w:p>
        </w:tc>
        <w:tc>
          <w:tcPr>
            <w:tcW w:w="1320" w:type="dxa"/>
            <w:noWrap w:val="0"/>
            <w:vAlign w:val="center"/>
          </w:tcPr>
          <w:p>
            <w:pPr>
              <w:pStyle w:val="24"/>
              <w:kinsoku w:val="0"/>
              <w:overflowPunct w:val="0"/>
              <w:spacing w:before="119" w:line="313" w:lineRule="exact"/>
              <w:ind w:left="102"/>
              <w:jc w:val="center"/>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技术指标</w:t>
            </w:r>
          </w:p>
        </w:tc>
        <w:tc>
          <w:tcPr>
            <w:tcW w:w="780" w:type="dxa"/>
            <w:noWrap w:val="0"/>
            <w:vAlign w:val="center"/>
          </w:tcPr>
          <w:p>
            <w:pPr>
              <w:pStyle w:val="24"/>
              <w:kinsoku w:val="0"/>
              <w:overflowPunct w:val="0"/>
              <w:ind w:left="102"/>
              <w:jc w:val="center"/>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30</w:t>
            </w:r>
          </w:p>
        </w:tc>
        <w:tc>
          <w:tcPr>
            <w:tcW w:w="6148" w:type="dxa"/>
            <w:noWrap w:val="0"/>
            <w:vAlign w:val="center"/>
          </w:tcPr>
          <w:p>
            <w:pPr>
              <w:rPr>
                <w:rFonts w:hint="eastAsia" w:ascii="宋体" w:hAnsi="宋体" w:eastAsia="宋体" w:cs="宋体"/>
                <w:color w:val="auto"/>
                <w:sz w:val="24"/>
                <w:szCs w:val="24"/>
              </w:rPr>
            </w:pPr>
            <w:r>
              <w:rPr>
                <w:rFonts w:hint="eastAsia" w:ascii="宋体" w:hAnsi="宋体" w:eastAsia="宋体" w:cs="宋体"/>
                <w:color w:val="auto"/>
                <w:sz w:val="24"/>
                <w:szCs w:val="24"/>
              </w:rPr>
              <w:t>技术指标完全符合谈判文件中</w:t>
            </w:r>
            <w:r>
              <w:rPr>
                <w:rFonts w:hint="eastAsia" w:ascii="宋体" w:hAnsi="宋体" w:eastAsia="宋体" w:cs="宋体"/>
                <w:color w:val="auto"/>
                <w:sz w:val="24"/>
                <w:szCs w:val="24"/>
                <w:lang w:eastAsia="zh-CN"/>
              </w:rPr>
              <w:t>医院</w:t>
            </w:r>
            <w:r>
              <w:rPr>
                <w:rFonts w:hint="eastAsia" w:ascii="宋体" w:hAnsi="宋体" w:eastAsia="宋体" w:cs="宋体"/>
                <w:color w:val="auto"/>
                <w:sz w:val="24"/>
                <w:szCs w:val="24"/>
              </w:rPr>
              <w:t>净化系统维保服务范围及</w:t>
            </w:r>
            <w:r>
              <w:rPr>
                <w:rFonts w:hint="eastAsia" w:hAnsi="宋体" w:cs="宋体"/>
                <w:color w:val="auto"/>
                <w:sz w:val="24"/>
                <w:szCs w:val="24"/>
                <w:lang w:eastAsia="zh-CN"/>
              </w:rPr>
              <w:t>技术</w:t>
            </w:r>
            <w:r>
              <w:rPr>
                <w:rFonts w:hint="eastAsia" w:ascii="宋体" w:hAnsi="宋体" w:eastAsia="宋体" w:cs="宋体"/>
                <w:color w:val="auto"/>
                <w:sz w:val="24"/>
                <w:szCs w:val="24"/>
              </w:rPr>
              <w:t>要求没有负偏离得</w:t>
            </w:r>
            <w:r>
              <w:rPr>
                <w:rFonts w:hint="eastAsia" w:hAnsi="宋体" w:cs="宋体"/>
                <w:color w:val="auto"/>
                <w:sz w:val="24"/>
                <w:szCs w:val="24"/>
                <w:lang w:val="en-US" w:eastAsia="zh-CN"/>
              </w:rPr>
              <w:t>30</w:t>
            </w:r>
            <w:r>
              <w:rPr>
                <w:rFonts w:hint="eastAsia" w:ascii="宋体" w:hAnsi="宋体" w:eastAsia="宋体" w:cs="宋体"/>
                <w:color w:val="auto"/>
                <w:sz w:val="24"/>
                <w:szCs w:val="24"/>
              </w:rPr>
              <w:t>分，与要求有负偏离的，一项扣1分，扣完为止。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6" w:hRule="atLeast"/>
        </w:trPr>
        <w:tc>
          <w:tcPr>
            <w:tcW w:w="946" w:type="dxa"/>
            <w:vMerge w:val="continue"/>
            <w:noWrap w:val="0"/>
            <w:vAlign w:val="center"/>
          </w:tcPr>
          <w:p>
            <w:pPr>
              <w:jc w:val="center"/>
              <w:rPr>
                <w:rFonts w:hint="eastAsia" w:ascii="宋体" w:hAnsi="宋体" w:eastAsia="宋体" w:cs="宋体"/>
                <w:bCs/>
                <w:color w:val="auto"/>
                <w:sz w:val="24"/>
                <w:szCs w:val="24"/>
              </w:rPr>
            </w:pPr>
          </w:p>
        </w:tc>
        <w:tc>
          <w:tcPr>
            <w:tcW w:w="1320" w:type="dxa"/>
            <w:noWrap w:val="0"/>
            <w:vAlign w:val="center"/>
          </w:tcPr>
          <w:p>
            <w:pPr>
              <w:pStyle w:val="24"/>
              <w:kinsoku w:val="0"/>
              <w:overflowPunct w:val="0"/>
              <w:spacing w:line="313" w:lineRule="exact"/>
              <w:ind w:left="102"/>
              <w:jc w:val="center"/>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服务方案</w:t>
            </w:r>
          </w:p>
        </w:tc>
        <w:tc>
          <w:tcPr>
            <w:tcW w:w="780" w:type="dxa"/>
            <w:noWrap w:val="0"/>
            <w:vAlign w:val="center"/>
          </w:tcPr>
          <w:p>
            <w:pPr>
              <w:pStyle w:val="24"/>
              <w:kinsoku w:val="0"/>
              <w:overflowPunct w:val="0"/>
              <w:ind w:left="102"/>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10</w:t>
            </w:r>
          </w:p>
        </w:tc>
        <w:tc>
          <w:tcPr>
            <w:tcW w:w="6148" w:type="dxa"/>
            <w:noWrap w:val="0"/>
            <w:vAlign w:val="center"/>
          </w:tcPr>
          <w:p>
            <w:pPr>
              <w:widowControl/>
              <w:rPr>
                <w:rFonts w:hint="eastAsia" w:ascii="宋体" w:hAnsi="宋体" w:eastAsia="宋体" w:cs="宋体"/>
                <w:color w:val="auto"/>
                <w:sz w:val="24"/>
                <w:szCs w:val="24"/>
              </w:rPr>
            </w:pPr>
            <w:r>
              <w:rPr>
                <w:rFonts w:hint="eastAsia" w:ascii="宋体" w:hAnsi="宋体" w:eastAsia="宋体" w:cs="宋体"/>
                <w:color w:val="auto"/>
                <w:sz w:val="24"/>
                <w:szCs w:val="24"/>
              </w:rPr>
              <w:t>服务方案包括但不限于项目实施方案、管理机构设置、安全作业保障、质量保证体系、档案管理制度等五个方面，每有一项得2分，本项最多得10分。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37" w:hRule="atLeast"/>
        </w:trPr>
        <w:tc>
          <w:tcPr>
            <w:tcW w:w="946" w:type="dxa"/>
            <w:vMerge w:val="continue"/>
            <w:noWrap w:val="0"/>
            <w:vAlign w:val="center"/>
          </w:tcPr>
          <w:p>
            <w:pPr>
              <w:jc w:val="center"/>
              <w:rPr>
                <w:rFonts w:hint="eastAsia" w:ascii="宋体" w:hAnsi="宋体" w:eastAsia="宋体" w:cs="宋体"/>
                <w:bCs/>
                <w:color w:val="auto"/>
                <w:sz w:val="24"/>
                <w:szCs w:val="24"/>
              </w:rPr>
            </w:pPr>
          </w:p>
        </w:tc>
        <w:tc>
          <w:tcPr>
            <w:tcW w:w="1320" w:type="dxa"/>
            <w:vMerge w:val="restart"/>
            <w:noWrap w:val="0"/>
            <w:vAlign w:val="center"/>
          </w:tcPr>
          <w:p>
            <w:pPr>
              <w:pStyle w:val="24"/>
              <w:kinsoku w:val="0"/>
              <w:overflowPunct w:val="0"/>
              <w:spacing w:line="313" w:lineRule="exact"/>
              <w:ind w:left="102"/>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履约能力</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hAnsi="宋体" w:cs="宋体"/>
                <w:color w:val="auto"/>
                <w:sz w:val="24"/>
                <w:szCs w:val="24"/>
                <w:lang w:val="en-US" w:eastAsia="zh-CN"/>
              </w:rPr>
              <w:t>15</w:t>
            </w:r>
            <w:r>
              <w:rPr>
                <w:rFonts w:hint="eastAsia" w:ascii="宋体" w:hAnsi="宋体" w:eastAsia="宋体" w:cs="宋体"/>
                <w:color w:val="auto"/>
                <w:sz w:val="24"/>
                <w:szCs w:val="24"/>
              </w:rPr>
              <w:t>%）</w:t>
            </w:r>
          </w:p>
        </w:tc>
        <w:tc>
          <w:tcPr>
            <w:tcW w:w="780" w:type="dxa"/>
            <w:noWrap w:val="0"/>
            <w:vAlign w:val="center"/>
          </w:tcPr>
          <w:p>
            <w:pPr>
              <w:pStyle w:val="24"/>
              <w:kinsoku w:val="0"/>
              <w:overflowPunct w:val="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p>
        </w:tc>
        <w:tc>
          <w:tcPr>
            <w:tcW w:w="6148" w:type="dxa"/>
            <w:noWrap w:val="0"/>
            <w:vAlign w:val="center"/>
          </w:tcPr>
          <w:p>
            <w:pPr>
              <w:pStyle w:val="24"/>
              <w:kinsoku w:val="0"/>
              <w:overflowPunct w:val="0"/>
              <w:spacing w:line="276" w:lineRule="exact"/>
              <w:ind w:left="102"/>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1.公司具有如下检测设备（包含但不限于）得1分：①尘埃粒子测定仪、②温湿度计、③风速仪、④压差仪、⑤噪声计；（缺少一项不得分）</w:t>
            </w:r>
          </w:p>
          <w:p>
            <w:pPr>
              <w:pStyle w:val="24"/>
              <w:kinsoku w:val="0"/>
              <w:overflowPunct w:val="0"/>
              <w:spacing w:line="276" w:lineRule="exact"/>
              <w:ind w:left="102"/>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2.公司具有PVC地板清洗设备得1分，没有不得分；</w:t>
            </w:r>
          </w:p>
          <w:p>
            <w:pPr>
              <w:pStyle w:val="24"/>
              <w:kinsoku w:val="0"/>
              <w:overflowPunct w:val="0"/>
              <w:spacing w:line="276" w:lineRule="exact"/>
              <w:ind w:left="102" w:right="-16"/>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3.公司具有风管清洗设备得1分，没有不得分；</w:t>
            </w:r>
          </w:p>
          <w:p>
            <w:pPr>
              <w:pStyle w:val="24"/>
              <w:kinsoku w:val="0"/>
              <w:overflowPunct w:val="0"/>
              <w:spacing w:line="276" w:lineRule="exact"/>
              <w:ind w:left="102"/>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（以上均需提供购买发票复印件）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8" w:hRule="atLeast"/>
        </w:trPr>
        <w:tc>
          <w:tcPr>
            <w:tcW w:w="946" w:type="dxa"/>
            <w:vMerge w:val="continue"/>
            <w:noWrap w:val="0"/>
            <w:vAlign w:val="center"/>
          </w:tcPr>
          <w:p>
            <w:pPr>
              <w:widowControl/>
              <w:jc w:val="center"/>
              <w:rPr>
                <w:rFonts w:hint="eastAsia" w:ascii="宋体" w:hAnsi="宋体" w:eastAsia="宋体" w:cs="宋体"/>
                <w:bCs/>
                <w:color w:val="auto"/>
                <w:sz w:val="24"/>
                <w:szCs w:val="24"/>
              </w:rPr>
            </w:pPr>
          </w:p>
        </w:tc>
        <w:tc>
          <w:tcPr>
            <w:tcW w:w="1320" w:type="dxa"/>
            <w:vMerge w:val="continue"/>
            <w:noWrap w:val="0"/>
            <w:vAlign w:val="center"/>
          </w:tcPr>
          <w:p>
            <w:pPr>
              <w:jc w:val="center"/>
              <w:rPr>
                <w:rFonts w:hint="eastAsia" w:ascii="宋体" w:hAnsi="宋体" w:eastAsia="宋体" w:cs="宋体"/>
                <w:color w:val="auto"/>
                <w:sz w:val="24"/>
                <w:szCs w:val="24"/>
              </w:rPr>
            </w:pPr>
          </w:p>
        </w:tc>
        <w:tc>
          <w:tcPr>
            <w:tcW w:w="780" w:type="dxa"/>
            <w:noWrap w:val="0"/>
            <w:vAlign w:val="center"/>
          </w:tcPr>
          <w:p>
            <w:pPr>
              <w:pStyle w:val="24"/>
              <w:kinsoku w:val="0"/>
              <w:overflowPunct w:val="0"/>
              <w:spacing w:before="171"/>
              <w:ind w:left="102"/>
              <w:jc w:val="center"/>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val="en-US" w:eastAsia="zh-CN"/>
              </w:rPr>
              <w:t>7</w:t>
            </w:r>
          </w:p>
        </w:tc>
        <w:tc>
          <w:tcPr>
            <w:tcW w:w="6148" w:type="dxa"/>
            <w:noWrap w:val="0"/>
            <w:vAlign w:val="center"/>
          </w:tcPr>
          <w:p>
            <w:pPr>
              <w:pStyle w:val="24"/>
              <w:kinsoku w:val="0"/>
              <w:overflowPunct w:val="0"/>
              <w:spacing w:line="275" w:lineRule="exac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1.公司技术负责人具有设备维修管理中级职称得 5 分，没有不得分；</w:t>
            </w:r>
          </w:p>
          <w:p>
            <w:pPr>
              <w:pStyle w:val="24"/>
              <w:kinsoku w:val="0"/>
              <w:overflowPunct w:val="0"/>
              <w:spacing w:before="29" w:line="312" w:lineRule="exact"/>
              <w:ind w:right="1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2.技术人员具有机械工程高级工程师得5分，没有不得分；</w:t>
            </w:r>
          </w:p>
          <w:p>
            <w:pPr>
              <w:pStyle w:val="24"/>
              <w:kinsoku w:val="0"/>
              <w:overflowPunct w:val="0"/>
              <w:spacing w:before="29" w:line="312" w:lineRule="exact"/>
              <w:ind w:right="1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3.维护人员具有制冷设备维修操作证或中央空调维修维保培训结业证书得2分，没有不得分。</w:t>
            </w:r>
          </w:p>
          <w:p>
            <w:pPr>
              <w:pStyle w:val="24"/>
              <w:kinsoku w:val="0"/>
              <w:overflowPunct w:val="0"/>
              <w:spacing w:line="276" w:lineRule="exac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（以上证书均需提供证书复印件及身份证复印件）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9" w:hRule="atLeast"/>
        </w:trPr>
        <w:tc>
          <w:tcPr>
            <w:tcW w:w="946" w:type="dxa"/>
            <w:vMerge w:val="continue"/>
            <w:noWrap w:val="0"/>
            <w:vAlign w:val="center"/>
          </w:tcPr>
          <w:p>
            <w:pPr>
              <w:widowControl/>
              <w:jc w:val="center"/>
              <w:rPr>
                <w:rFonts w:hint="eastAsia" w:ascii="宋体" w:hAnsi="宋体" w:eastAsia="宋体" w:cs="宋体"/>
                <w:bCs/>
                <w:color w:val="auto"/>
                <w:sz w:val="24"/>
                <w:szCs w:val="24"/>
              </w:rPr>
            </w:pPr>
          </w:p>
        </w:tc>
        <w:tc>
          <w:tcPr>
            <w:tcW w:w="1320" w:type="dxa"/>
            <w:vMerge w:val="continue"/>
            <w:noWrap w:val="0"/>
            <w:vAlign w:val="center"/>
          </w:tcPr>
          <w:p>
            <w:pPr>
              <w:jc w:val="center"/>
              <w:rPr>
                <w:rFonts w:hint="eastAsia" w:ascii="宋体" w:hAnsi="宋体" w:eastAsia="宋体" w:cs="宋体"/>
                <w:color w:val="auto"/>
                <w:sz w:val="24"/>
                <w:szCs w:val="24"/>
              </w:rPr>
            </w:pPr>
          </w:p>
        </w:tc>
        <w:tc>
          <w:tcPr>
            <w:tcW w:w="780" w:type="dxa"/>
            <w:noWrap w:val="0"/>
            <w:vAlign w:val="center"/>
          </w:tcPr>
          <w:p>
            <w:pPr>
              <w:pStyle w:val="24"/>
              <w:kinsoku w:val="0"/>
              <w:overflowPunct w:val="0"/>
              <w:ind w:left="102"/>
              <w:jc w:val="center"/>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val="en-US" w:eastAsia="zh-CN"/>
              </w:rPr>
              <w:t>5</w:t>
            </w:r>
          </w:p>
        </w:tc>
        <w:tc>
          <w:tcPr>
            <w:tcW w:w="6148" w:type="dxa"/>
            <w:noWrap w:val="0"/>
            <w:vAlign w:val="center"/>
          </w:tcPr>
          <w:p>
            <w:pPr>
              <w:pStyle w:val="24"/>
              <w:kinsoku w:val="0"/>
              <w:overflowPunct w:val="0"/>
              <w:spacing w:line="278" w:lineRule="exact"/>
              <w:ind w:left="102"/>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201</w:t>
            </w:r>
            <w:r>
              <w:rPr>
                <w:rFonts w:hint="eastAsia" w:ascii="宋体" w:hAnsi="宋体" w:eastAsia="宋体" w:cs="宋体"/>
                <w:color w:val="auto"/>
                <w:kern w:val="0"/>
                <w:sz w:val="24"/>
                <w:szCs w:val="24"/>
                <w:lang w:val="en-US" w:eastAsia="zh-CN"/>
              </w:rPr>
              <w:t>9</w:t>
            </w:r>
            <w:r>
              <w:rPr>
                <w:rFonts w:hint="eastAsia" w:ascii="宋体" w:hAnsi="宋体" w:eastAsia="宋体" w:cs="宋体"/>
                <w:color w:val="auto"/>
                <w:kern w:val="0"/>
                <w:sz w:val="24"/>
                <w:szCs w:val="24"/>
              </w:rPr>
              <w:t xml:space="preserve"> 年1月1日至今具有医院手术室净化系统维护类业绩，每具有一个得1分，本项最多得 </w:t>
            </w:r>
            <w:r>
              <w:rPr>
                <w:rFonts w:hint="eastAsia" w:ascii="宋体" w:hAnsi="宋体" w:cs="宋体"/>
                <w:color w:val="auto"/>
                <w:kern w:val="0"/>
                <w:sz w:val="24"/>
                <w:szCs w:val="24"/>
                <w:lang w:val="en-US" w:eastAsia="zh-CN"/>
              </w:rPr>
              <w:t>5</w:t>
            </w:r>
            <w:r>
              <w:rPr>
                <w:rFonts w:hint="eastAsia" w:ascii="宋体" w:hAnsi="宋体" w:eastAsia="宋体" w:cs="宋体"/>
                <w:color w:val="auto"/>
                <w:kern w:val="0"/>
                <w:sz w:val="24"/>
                <w:szCs w:val="24"/>
              </w:rPr>
              <w:t>分。（提供合同复印件及医院联系人电话）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98" w:hRule="atLeast"/>
        </w:trPr>
        <w:tc>
          <w:tcPr>
            <w:tcW w:w="946" w:type="dxa"/>
            <w:vMerge w:val="continue"/>
            <w:noWrap w:val="0"/>
            <w:vAlign w:val="center"/>
          </w:tcPr>
          <w:p>
            <w:pPr>
              <w:widowControl/>
              <w:jc w:val="center"/>
              <w:rPr>
                <w:rFonts w:hint="eastAsia" w:ascii="宋体" w:hAnsi="宋体" w:eastAsia="宋体" w:cs="宋体"/>
                <w:bCs/>
                <w:color w:val="auto"/>
                <w:sz w:val="24"/>
                <w:szCs w:val="24"/>
              </w:rPr>
            </w:pPr>
          </w:p>
        </w:tc>
        <w:tc>
          <w:tcPr>
            <w:tcW w:w="1320" w:type="dxa"/>
            <w:noWrap w:val="0"/>
            <w:vAlign w:val="center"/>
          </w:tcPr>
          <w:p>
            <w:pPr>
              <w:pStyle w:val="24"/>
              <w:kinsoku w:val="0"/>
              <w:overflowPunct w:val="0"/>
              <w:spacing w:before="204" w:line="312" w:lineRule="exact"/>
              <w:ind w:right="101"/>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拟投入使用的主要配件</w:t>
            </w:r>
          </w:p>
          <w:p>
            <w:pPr>
              <w:pStyle w:val="24"/>
              <w:kinsoku w:val="0"/>
              <w:overflowPunct w:val="0"/>
              <w:spacing w:before="204" w:line="312" w:lineRule="exact"/>
              <w:ind w:right="101"/>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cs="宋体"/>
                <w:color w:val="auto"/>
                <w:kern w:val="0"/>
                <w:sz w:val="24"/>
                <w:szCs w:val="24"/>
                <w:lang w:val="en-US" w:eastAsia="zh-CN"/>
              </w:rPr>
              <w:t>1</w:t>
            </w:r>
            <w:r>
              <w:rPr>
                <w:rFonts w:hint="eastAsia" w:ascii="宋体" w:hAnsi="宋体" w:eastAsia="宋体" w:cs="宋体"/>
                <w:color w:val="auto"/>
                <w:kern w:val="0"/>
                <w:sz w:val="24"/>
                <w:szCs w:val="24"/>
              </w:rPr>
              <w:t>%）</w:t>
            </w:r>
          </w:p>
        </w:tc>
        <w:tc>
          <w:tcPr>
            <w:tcW w:w="780" w:type="dxa"/>
            <w:noWrap w:val="0"/>
            <w:vAlign w:val="center"/>
          </w:tcPr>
          <w:p>
            <w:pPr>
              <w:pStyle w:val="24"/>
              <w:kinsoku w:val="0"/>
              <w:overflowPunct w:val="0"/>
              <w:ind w:left="102"/>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1</w:t>
            </w:r>
            <w:r>
              <w:rPr>
                <w:rFonts w:hint="eastAsia" w:ascii="宋体" w:hAnsi="宋体" w:cs="宋体"/>
                <w:color w:val="auto"/>
                <w:kern w:val="0"/>
                <w:sz w:val="24"/>
                <w:szCs w:val="24"/>
                <w:lang w:val="en-US" w:eastAsia="zh-CN"/>
              </w:rPr>
              <w:t>1</w:t>
            </w:r>
          </w:p>
        </w:tc>
        <w:tc>
          <w:tcPr>
            <w:tcW w:w="6148" w:type="dxa"/>
            <w:noWrap w:val="0"/>
            <w:vAlign w:val="center"/>
          </w:tcPr>
          <w:p>
            <w:pPr>
              <w:pStyle w:val="24"/>
              <w:kinsoku w:val="0"/>
              <w:overflowPunct w:val="0"/>
              <w:spacing w:line="278" w:lineRule="exac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1、投标产品过滤网具有 ISO9001 质量管理体系认证、ISO14001 环境认证体系认证、GB/T 28001职业健康管理体系认证，以上三项证书覆盖范围必须包括“空气过滤器内容”，否则不予认定。每具有一个认证证书得 2 分，本项最多得 </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rPr>
              <w:t>分；</w:t>
            </w:r>
          </w:p>
          <w:p>
            <w:pPr>
              <w:pStyle w:val="24"/>
              <w:kinsoku w:val="0"/>
              <w:overflowPunct w:val="0"/>
              <w:spacing w:before="29" w:line="312" w:lineRule="exact"/>
              <w:ind w:right="-16"/>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2、投标产品过滤网具有 2019 或 2020 年度经国家空调设备质量监督检验中心检验合格的报告，检测报告内容须包含但不限于初效、中效、组合式、有隔板高效、无隔板高效滤网五项，完全满足得 </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rPr>
              <w:t xml:space="preserve"> 分，若一项不满足扣一分，扣完为止。（提供相关证书复印件）</w:t>
            </w:r>
          </w:p>
          <w:p>
            <w:pPr>
              <w:pStyle w:val="24"/>
              <w:kinsoku w:val="0"/>
              <w:overflowPunct w:val="0"/>
              <w:spacing w:before="29" w:line="312" w:lineRule="exact"/>
              <w:ind w:right="-16"/>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3、投标产品过滤网厂家获得了相关专利证书得</w:t>
            </w:r>
            <w:r>
              <w:rPr>
                <w:rFonts w:hint="eastAsia" w:ascii="宋体" w:hAnsi="宋体" w:cs="宋体"/>
                <w:color w:val="auto"/>
                <w:kern w:val="0"/>
                <w:sz w:val="24"/>
                <w:szCs w:val="24"/>
                <w:lang w:val="en-US" w:eastAsia="zh-CN"/>
              </w:rPr>
              <w:t>2</w:t>
            </w:r>
            <w:r>
              <w:rPr>
                <w:rFonts w:hint="eastAsia" w:ascii="宋体" w:hAnsi="宋体" w:eastAsia="宋体" w:cs="宋体"/>
                <w:color w:val="auto"/>
                <w:kern w:val="0"/>
                <w:sz w:val="24"/>
                <w:szCs w:val="24"/>
              </w:rPr>
              <w:t>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8" w:hRule="atLeast"/>
        </w:trPr>
        <w:tc>
          <w:tcPr>
            <w:tcW w:w="946" w:type="dxa"/>
            <w:noWrap w:val="0"/>
            <w:vAlign w:val="center"/>
          </w:tcPr>
          <w:p>
            <w:pPr>
              <w:widowControl/>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eastAsia="zh-CN"/>
              </w:rPr>
              <w:t>售后服务</w:t>
            </w:r>
          </w:p>
        </w:tc>
        <w:tc>
          <w:tcPr>
            <w:tcW w:w="1320" w:type="dxa"/>
            <w:noWrap w:val="0"/>
            <w:vAlign w:val="center"/>
          </w:tcPr>
          <w:p>
            <w:pPr>
              <w:pStyle w:val="24"/>
              <w:kinsoku w:val="0"/>
              <w:overflowPunct w:val="0"/>
              <w:spacing w:before="204" w:line="312" w:lineRule="exact"/>
              <w:ind w:right="101"/>
              <w:jc w:val="center"/>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售后承诺（</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eastAsia="zh-CN"/>
              </w:rPr>
              <w:t>）</w:t>
            </w:r>
          </w:p>
        </w:tc>
        <w:tc>
          <w:tcPr>
            <w:tcW w:w="780" w:type="dxa"/>
            <w:noWrap w:val="0"/>
            <w:vAlign w:val="center"/>
          </w:tcPr>
          <w:p>
            <w:pPr>
              <w:pStyle w:val="24"/>
              <w:kinsoku w:val="0"/>
              <w:overflowPunct w:val="0"/>
              <w:ind w:left="102"/>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w:t>
            </w:r>
          </w:p>
        </w:tc>
        <w:tc>
          <w:tcPr>
            <w:tcW w:w="6148" w:type="dxa"/>
            <w:noWrap w:val="0"/>
            <w:vAlign w:val="center"/>
          </w:tcPr>
          <w:p>
            <w:pPr>
              <w:pStyle w:val="24"/>
              <w:kinsoku w:val="0"/>
              <w:overflowPunct w:val="0"/>
              <w:spacing w:before="29" w:line="312" w:lineRule="exact"/>
              <w:ind w:left="102" w:right="-16"/>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eastAsia="zh-CN"/>
              </w:rPr>
              <w:t>供应商售后服务方案满足医院净化系统维护要求，合理得</w:t>
            </w:r>
            <w:r>
              <w:rPr>
                <w:rFonts w:hint="eastAsia" w:ascii="宋体" w:hAnsi="宋体" w:eastAsia="宋体" w:cs="宋体"/>
                <w:color w:val="auto"/>
                <w:kern w:val="0"/>
                <w:sz w:val="24"/>
                <w:szCs w:val="24"/>
                <w:lang w:val="en-US" w:eastAsia="zh-CN"/>
              </w:rPr>
              <w:t>2分，一般得1分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93" w:hRule="atLeast"/>
        </w:trPr>
        <w:tc>
          <w:tcPr>
            <w:tcW w:w="946" w:type="dxa"/>
            <w:noWrap w:val="0"/>
            <w:vAlign w:val="center"/>
          </w:tcPr>
          <w:p>
            <w:pPr>
              <w:widowControl/>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eastAsia="zh-CN"/>
              </w:rPr>
              <w:t>文件规范性</w:t>
            </w:r>
          </w:p>
        </w:tc>
        <w:tc>
          <w:tcPr>
            <w:tcW w:w="1320" w:type="dxa"/>
            <w:noWrap w:val="0"/>
            <w:vAlign w:val="center"/>
          </w:tcPr>
          <w:p>
            <w:pPr>
              <w:pStyle w:val="24"/>
              <w:kinsoku w:val="0"/>
              <w:overflowPunct w:val="0"/>
              <w:spacing w:before="204" w:line="312" w:lineRule="exact"/>
              <w:ind w:right="101"/>
              <w:jc w:val="center"/>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投标文件规范性（</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eastAsia="zh-CN"/>
              </w:rPr>
              <w:t>）</w:t>
            </w:r>
          </w:p>
        </w:tc>
        <w:tc>
          <w:tcPr>
            <w:tcW w:w="780" w:type="dxa"/>
            <w:noWrap w:val="0"/>
            <w:vAlign w:val="center"/>
          </w:tcPr>
          <w:p>
            <w:pPr>
              <w:pStyle w:val="24"/>
              <w:kinsoku w:val="0"/>
              <w:overflowPunct w:val="0"/>
              <w:ind w:left="102"/>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w:t>
            </w:r>
          </w:p>
        </w:tc>
        <w:tc>
          <w:tcPr>
            <w:tcW w:w="6148" w:type="dxa"/>
            <w:noWrap w:val="0"/>
            <w:vAlign w:val="center"/>
          </w:tcPr>
          <w:p>
            <w:pPr>
              <w:pStyle w:val="24"/>
              <w:kinsoku w:val="0"/>
              <w:overflowPunct w:val="0"/>
              <w:spacing w:before="29" w:line="312" w:lineRule="exact"/>
              <w:ind w:left="102" w:right="-16"/>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投标文件制作规范，没有细微偏差情形的得</w:t>
            </w:r>
            <w:r>
              <w:rPr>
                <w:rFonts w:hint="eastAsia" w:ascii="宋体" w:hAnsi="宋体" w:eastAsia="宋体" w:cs="宋体"/>
                <w:color w:val="auto"/>
                <w:kern w:val="0"/>
                <w:sz w:val="24"/>
                <w:szCs w:val="24"/>
                <w:lang w:val="en-US" w:eastAsia="zh-CN"/>
              </w:rPr>
              <w:t>2</w:t>
            </w:r>
          </w:p>
          <w:p>
            <w:pPr>
              <w:pStyle w:val="24"/>
              <w:kinsoku w:val="0"/>
              <w:overflowPunct w:val="0"/>
              <w:spacing w:before="29" w:line="312" w:lineRule="exact"/>
              <w:ind w:left="102" w:right="-16"/>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分，有一项细微偏差扣 1 分，直至该项分值扣完</w:t>
            </w:r>
          </w:p>
          <w:p>
            <w:pPr>
              <w:pStyle w:val="24"/>
              <w:kinsoku w:val="0"/>
              <w:overflowPunct w:val="0"/>
              <w:spacing w:before="29" w:line="312" w:lineRule="exact"/>
              <w:ind w:left="102" w:right="-16"/>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为止。</w:t>
            </w:r>
          </w:p>
        </w:tc>
      </w:tr>
    </w:tbl>
    <w:p>
      <w:pPr>
        <w:pStyle w:val="2"/>
        <w:rPr>
          <w:rFonts w:hint="eastAsia"/>
          <w:lang w:eastAsia="zh-CN"/>
        </w:rPr>
      </w:pPr>
    </w:p>
    <w:p>
      <w:pPr>
        <w:pStyle w:val="6"/>
        <w:rPr>
          <w:rFonts w:hint="default"/>
          <w:lang w:val="en-US" w:eastAsia="zh-CN"/>
        </w:rPr>
      </w:pPr>
    </w:p>
    <w:p>
      <w:pPr>
        <w:pStyle w:val="2"/>
      </w:pPr>
    </w:p>
    <w:p>
      <w:pPr>
        <w:pStyle w:val="2"/>
        <w:rPr>
          <w:rFonts w:hint="default"/>
          <w:lang w:val="en-US" w:eastAsia="zh-CN"/>
        </w:rPr>
      </w:pP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rPr>
          <w:rFonts w:hint="eastAsia" w:ascii="仿宋_GB2312" w:hAnsi="仿宋_GB2312" w:eastAsia="仿宋_GB2312" w:cs="仿宋_GB2312"/>
          <w:lang w:val="en-US" w:eastAsia="zh-CN"/>
        </w:rPr>
      </w:pPr>
    </w:p>
    <w:sectPr>
      <w:footerReference r:id="rId3" w:type="default"/>
      <w:pgSz w:w="11906" w:h="16838"/>
      <w:pgMar w:top="1134" w:right="1418" w:bottom="851" w:left="1418"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p>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8C4"/>
    <w:rsid w:val="0007772F"/>
    <w:rsid w:val="000D3AEE"/>
    <w:rsid w:val="001727A2"/>
    <w:rsid w:val="002046A0"/>
    <w:rsid w:val="00235B6F"/>
    <w:rsid w:val="00242C11"/>
    <w:rsid w:val="00260F11"/>
    <w:rsid w:val="003D1E3F"/>
    <w:rsid w:val="003D388A"/>
    <w:rsid w:val="003E17A2"/>
    <w:rsid w:val="00444380"/>
    <w:rsid w:val="00462EED"/>
    <w:rsid w:val="00590092"/>
    <w:rsid w:val="005908C4"/>
    <w:rsid w:val="00602A36"/>
    <w:rsid w:val="006703E3"/>
    <w:rsid w:val="00697163"/>
    <w:rsid w:val="006F2EAA"/>
    <w:rsid w:val="00715237"/>
    <w:rsid w:val="007C5D34"/>
    <w:rsid w:val="0086482A"/>
    <w:rsid w:val="00892C9F"/>
    <w:rsid w:val="009727B2"/>
    <w:rsid w:val="009F1FC1"/>
    <w:rsid w:val="00AA4A32"/>
    <w:rsid w:val="00AE688E"/>
    <w:rsid w:val="00B006EB"/>
    <w:rsid w:val="00D528DA"/>
    <w:rsid w:val="00D76B45"/>
    <w:rsid w:val="00E207B4"/>
    <w:rsid w:val="00E55561"/>
    <w:rsid w:val="00E5722A"/>
    <w:rsid w:val="00E66588"/>
    <w:rsid w:val="00F14389"/>
    <w:rsid w:val="01147703"/>
    <w:rsid w:val="017B774E"/>
    <w:rsid w:val="086C6822"/>
    <w:rsid w:val="08C412EB"/>
    <w:rsid w:val="08CB0808"/>
    <w:rsid w:val="08DE4018"/>
    <w:rsid w:val="08F4624B"/>
    <w:rsid w:val="09127629"/>
    <w:rsid w:val="0A380E25"/>
    <w:rsid w:val="0B0867F5"/>
    <w:rsid w:val="0D051B42"/>
    <w:rsid w:val="0E9737D0"/>
    <w:rsid w:val="0F724942"/>
    <w:rsid w:val="119D4B1B"/>
    <w:rsid w:val="128117DB"/>
    <w:rsid w:val="16072E4F"/>
    <w:rsid w:val="17054526"/>
    <w:rsid w:val="17F42A8D"/>
    <w:rsid w:val="187E6699"/>
    <w:rsid w:val="1956660C"/>
    <w:rsid w:val="1AD3096B"/>
    <w:rsid w:val="1E83443A"/>
    <w:rsid w:val="20282386"/>
    <w:rsid w:val="206C658E"/>
    <w:rsid w:val="214B29C3"/>
    <w:rsid w:val="21610D1A"/>
    <w:rsid w:val="21B0403A"/>
    <w:rsid w:val="2276562D"/>
    <w:rsid w:val="24783EEF"/>
    <w:rsid w:val="24E223DF"/>
    <w:rsid w:val="25943A43"/>
    <w:rsid w:val="263D325B"/>
    <w:rsid w:val="26FF6F87"/>
    <w:rsid w:val="27F03BE0"/>
    <w:rsid w:val="28944AE8"/>
    <w:rsid w:val="297A4149"/>
    <w:rsid w:val="2A8A6AAE"/>
    <w:rsid w:val="30681285"/>
    <w:rsid w:val="32D5248E"/>
    <w:rsid w:val="35BF0790"/>
    <w:rsid w:val="361402BE"/>
    <w:rsid w:val="36727BE2"/>
    <w:rsid w:val="38C94119"/>
    <w:rsid w:val="396041AC"/>
    <w:rsid w:val="3BB7353F"/>
    <w:rsid w:val="3D6E2980"/>
    <w:rsid w:val="3E623E77"/>
    <w:rsid w:val="3E8C40FA"/>
    <w:rsid w:val="3FDB4E00"/>
    <w:rsid w:val="40D51792"/>
    <w:rsid w:val="40F16869"/>
    <w:rsid w:val="416424A6"/>
    <w:rsid w:val="42BE4C8C"/>
    <w:rsid w:val="439B196A"/>
    <w:rsid w:val="46401036"/>
    <w:rsid w:val="474B2A15"/>
    <w:rsid w:val="47AA50B6"/>
    <w:rsid w:val="48592FEA"/>
    <w:rsid w:val="4A7506E1"/>
    <w:rsid w:val="4B59499D"/>
    <w:rsid w:val="4B87460E"/>
    <w:rsid w:val="4B94037D"/>
    <w:rsid w:val="4D3523D3"/>
    <w:rsid w:val="4DB51293"/>
    <w:rsid w:val="4FAC0F2D"/>
    <w:rsid w:val="4FBF17B7"/>
    <w:rsid w:val="50007E81"/>
    <w:rsid w:val="500D7D0B"/>
    <w:rsid w:val="508C4293"/>
    <w:rsid w:val="521A7572"/>
    <w:rsid w:val="52A25A99"/>
    <w:rsid w:val="52B850BE"/>
    <w:rsid w:val="53061176"/>
    <w:rsid w:val="53561A52"/>
    <w:rsid w:val="53BE757D"/>
    <w:rsid w:val="54AD2824"/>
    <w:rsid w:val="55056B59"/>
    <w:rsid w:val="55277CDB"/>
    <w:rsid w:val="55640FD8"/>
    <w:rsid w:val="563863F3"/>
    <w:rsid w:val="567A127C"/>
    <w:rsid w:val="587009E0"/>
    <w:rsid w:val="58DB32C9"/>
    <w:rsid w:val="597077FA"/>
    <w:rsid w:val="5AF54827"/>
    <w:rsid w:val="5B522E89"/>
    <w:rsid w:val="5C8C1F35"/>
    <w:rsid w:val="5DA233C7"/>
    <w:rsid w:val="5DE470D4"/>
    <w:rsid w:val="60E569DB"/>
    <w:rsid w:val="61174B37"/>
    <w:rsid w:val="61B06041"/>
    <w:rsid w:val="61E07132"/>
    <w:rsid w:val="620913F7"/>
    <w:rsid w:val="62866D8E"/>
    <w:rsid w:val="64157FE1"/>
    <w:rsid w:val="64792A73"/>
    <w:rsid w:val="6AEE6F18"/>
    <w:rsid w:val="6B6E64BF"/>
    <w:rsid w:val="6F5224E9"/>
    <w:rsid w:val="6FC138AF"/>
    <w:rsid w:val="705C39A2"/>
    <w:rsid w:val="7076253A"/>
    <w:rsid w:val="70D21960"/>
    <w:rsid w:val="73215C77"/>
    <w:rsid w:val="73F154C9"/>
    <w:rsid w:val="765C4CB4"/>
    <w:rsid w:val="777925E2"/>
    <w:rsid w:val="78621982"/>
    <w:rsid w:val="7A324215"/>
    <w:rsid w:val="7A780D1C"/>
    <w:rsid w:val="7C215833"/>
    <w:rsid w:val="7CF43977"/>
    <w:rsid w:val="7D2734CA"/>
    <w:rsid w:val="7DD22834"/>
    <w:rsid w:val="7DEB06E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1" w:semiHidden="0" w:name="heading 3"/>
    <w:lsdException w:qFormat="1" w:uiPriority="9" w:name="heading 4"/>
    <w:lsdException w:qFormat="1" w:uiPriority="1"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6"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19"/>
    <w:qFormat/>
    <w:uiPriority w:val="0"/>
    <w:pPr>
      <w:keepNext/>
      <w:keepLines/>
      <w:spacing w:before="340" w:after="330" w:line="578" w:lineRule="auto"/>
      <w:outlineLvl w:val="0"/>
    </w:pPr>
    <w:rPr>
      <w:b/>
      <w:bCs/>
      <w:kern w:val="44"/>
      <w:sz w:val="44"/>
      <w:szCs w:val="44"/>
    </w:rPr>
  </w:style>
  <w:style w:type="paragraph" w:styleId="4">
    <w:name w:val="heading 3"/>
    <w:basedOn w:val="1"/>
    <w:next w:val="1"/>
    <w:unhideWhenUsed/>
    <w:qFormat/>
    <w:uiPriority w:val="1"/>
    <w:pPr>
      <w:ind w:left="-12"/>
      <w:outlineLvl w:val="2"/>
    </w:pPr>
    <w:rPr>
      <w:rFonts w:hint="eastAsia" w:ascii="宋体" w:hAnsi="宋体" w:eastAsia="宋体"/>
      <w:b/>
      <w:sz w:val="36"/>
    </w:rPr>
  </w:style>
  <w:style w:type="paragraph" w:styleId="5">
    <w:name w:val="heading 5"/>
    <w:basedOn w:val="1"/>
    <w:next w:val="1"/>
    <w:link w:val="25"/>
    <w:unhideWhenUsed/>
    <w:qFormat/>
    <w:uiPriority w:val="1"/>
    <w:pPr>
      <w:outlineLvl w:val="4"/>
    </w:pPr>
    <w:rPr>
      <w:rFonts w:hint="eastAsia" w:ascii="宋体" w:hAnsi="宋体" w:eastAsia="宋体"/>
      <w:sz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1"/>
    <w:pPr>
      <w:spacing w:before="8"/>
    </w:pPr>
    <w:rPr>
      <w:rFonts w:ascii="宋体" w:hAnsi="宋体" w:eastAsia="宋体" w:cs="宋体"/>
      <w:sz w:val="32"/>
      <w:szCs w:val="32"/>
      <w:lang w:val="zh-CN" w:eastAsia="zh-CN" w:bidi="zh-CN"/>
    </w:rPr>
  </w:style>
  <w:style w:type="paragraph" w:styleId="6">
    <w:name w:val="Plain Text"/>
    <w:basedOn w:val="1"/>
    <w:qFormat/>
    <w:uiPriority w:val="6"/>
    <w:rPr>
      <w:rFonts w:ascii="宋体" w:hAnsi="宋体" w:cs="Courier New"/>
      <w:kern w:val="1"/>
      <w:szCs w:val="21"/>
    </w:rPr>
  </w:style>
  <w:style w:type="paragraph" w:styleId="7">
    <w:name w:val="Date"/>
    <w:basedOn w:val="1"/>
    <w:next w:val="1"/>
    <w:link w:val="17"/>
    <w:semiHidden/>
    <w:unhideWhenUsed/>
    <w:qFormat/>
    <w:uiPriority w:val="99"/>
    <w:pPr>
      <w:ind w:left="100" w:leftChars="2500"/>
    </w:pPr>
  </w:style>
  <w:style w:type="paragraph" w:styleId="8">
    <w:name w:val="footer"/>
    <w:basedOn w:val="1"/>
    <w:link w:val="16"/>
    <w:unhideWhenUsed/>
    <w:qFormat/>
    <w:uiPriority w:val="99"/>
    <w:pPr>
      <w:tabs>
        <w:tab w:val="center" w:pos="4153"/>
        <w:tab w:val="right" w:pos="8306"/>
      </w:tabs>
      <w:snapToGrid w:val="0"/>
      <w:jc w:val="left"/>
    </w:pPr>
    <w:rPr>
      <w:sz w:val="18"/>
      <w:szCs w:val="18"/>
    </w:rPr>
  </w:style>
  <w:style w:type="paragraph" w:styleId="9">
    <w:name w:val="header"/>
    <w:basedOn w:val="1"/>
    <w:link w:val="15"/>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itle"/>
    <w:basedOn w:val="1"/>
    <w:next w:val="1"/>
    <w:qFormat/>
    <w:uiPriority w:val="0"/>
    <w:pPr>
      <w:spacing w:before="240" w:after="60"/>
      <w:jc w:val="center"/>
      <w:outlineLvl w:val="0"/>
    </w:pPr>
    <w:rPr>
      <w:rFonts w:ascii="Cambria" w:hAnsi="Cambria" w:cs="Times New Roman"/>
      <w:b/>
      <w:bCs/>
      <w:sz w:val="32"/>
      <w:szCs w:val="32"/>
    </w:rPr>
  </w:style>
  <w:style w:type="character" w:styleId="13">
    <w:name w:val="Strong"/>
    <w:basedOn w:val="12"/>
    <w:qFormat/>
    <w:uiPriority w:val="22"/>
    <w:rPr>
      <w:b/>
      <w:bCs/>
    </w:rPr>
  </w:style>
  <w:style w:type="paragraph" w:customStyle="1" w:styleId="14">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15">
    <w:name w:val="页眉 Char"/>
    <w:basedOn w:val="12"/>
    <w:link w:val="9"/>
    <w:semiHidden/>
    <w:qFormat/>
    <w:uiPriority w:val="99"/>
    <w:rPr>
      <w:sz w:val="18"/>
      <w:szCs w:val="18"/>
    </w:rPr>
  </w:style>
  <w:style w:type="character" w:customStyle="1" w:styleId="16">
    <w:name w:val="页脚 Char"/>
    <w:basedOn w:val="12"/>
    <w:link w:val="8"/>
    <w:qFormat/>
    <w:uiPriority w:val="99"/>
    <w:rPr>
      <w:sz w:val="18"/>
      <w:szCs w:val="18"/>
    </w:rPr>
  </w:style>
  <w:style w:type="character" w:customStyle="1" w:styleId="17">
    <w:name w:val="日期 Char"/>
    <w:basedOn w:val="12"/>
    <w:link w:val="7"/>
    <w:semiHidden/>
    <w:qFormat/>
    <w:uiPriority w:val="99"/>
  </w:style>
  <w:style w:type="character" w:customStyle="1" w:styleId="18">
    <w:name w:val="apple-style-span"/>
    <w:basedOn w:val="12"/>
    <w:qFormat/>
    <w:uiPriority w:val="0"/>
    <w:rPr>
      <w:rFonts w:hint="default" w:ascii="Times New Roman"/>
    </w:rPr>
  </w:style>
  <w:style w:type="character" w:customStyle="1" w:styleId="19">
    <w:name w:val="标题 1 Char"/>
    <w:link w:val="3"/>
    <w:qFormat/>
    <w:uiPriority w:val="0"/>
    <w:rPr>
      <w:b/>
      <w:bCs/>
      <w:kern w:val="44"/>
      <w:sz w:val="44"/>
      <w:szCs w:val="44"/>
    </w:rPr>
  </w:style>
  <w:style w:type="paragraph" w:customStyle="1" w:styleId="20">
    <w:name w:val="List Paragraph"/>
    <w:basedOn w:val="1"/>
    <w:qFormat/>
    <w:uiPriority w:val="34"/>
    <w:pPr>
      <w:ind w:firstLine="420" w:firstLineChars="200"/>
    </w:pPr>
    <w:rPr>
      <w:rFonts w:ascii="Calibri" w:hAnsi="Calibri"/>
      <w:szCs w:val="22"/>
    </w:rPr>
  </w:style>
  <w:style w:type="character" w:customStyle="1" w:styleId="21">
    <w:name w:val="font11"/>
    <w:basedOn w:val="12"/>
    <w:qFormat/>
    <w:uiPriority w:val="0"/>
    <w:rPr>
      <w:rFonts w:hint="eastAsia" w:ascii="宋体" w:hAnsi="宋体" w:eastAsia="宋体" w:cs="宋体"/>
      <w:color w:val="000000"/>
      <w:sz w:val="24"/>
      <w:szCs w:val="24"/>
      <w:u w:val="none"/>
    </w:rPr>
  </w:style>
  <w:style w:type="paragraph" w:customStyle="1" w:styleId="22">
    <w:name w:val="正文 A"/>
    <w:qFormat/>
    <w:uiPriority w:val="0"/>
    <w:pPr>
      <w:widowControl w:val="0"/>
      <w:pBdr>
        <w:top w:val="none" w:color="auto" w:sz="0" w:space="0"/>
        <w:left w:val="none" w:color="auto" w:sz="0" w:space="0"/>
        <w:bottom w:val="none" w:color="auto" w:sz="0" w:space="0"/>
        <w:right w:val="none" w:color="auto" w:sz="0" w:space="0"/>
        <w:between w:val="none" w:color="auto" w:sz="0" w:space="0"/>
      </w:pBdr>
      <w:jc w:val="both"/>
    </w:pPr>
    <w:rPr>
      <w:rFonts w:ascii="Calibri" w:hAnsi="Calibri" w:eastAsia="Calibri" w:cs="Calibri"/>
      <w:color w:val="000000"/>
      <w:kern w:val="2"/>
      <w:sz w:val="21"/>
      <w:szCs w:val="21"/>
      <w:u w:color="000000"/>
      <w:lang w:val="en-US" w:eastAsia="zh-CN" w:bidi="ar-SA"/>
    </w:rPr>
  </w:style>
  <w:style w:type="paragraph" w:customStyle="1" w:styleId="23">
    <w:name w:val="页眉与页脚"/>
    <w:qFormat/>
    <w:uiPriority w:val="0"/>
    <w:pPr>
      <w:pBdr>
        <w:top w:val="none" w:color="auto" w:sz="0" w:space="0"/>
        <w:left w:val="none" w:color="auto" w:sz="0" w:space="0"/>
        <w:bottom w:val="none" w:color="auto" w:sz="0" w:space="0"/>
        <w:right w:val="none" w:color="auto" w:sz="0" w:space="0"/>
        <w:between w:val="none" w:color="auto" w:sz="0" w:space="0"/>
      </w:pBdr>
      <w:tabs>
        <w:tab w:val="right" w:pos="9020"/>
      </w:tabs>
    </w:pPr>
    <w:rPr>
      <w:rFonts w:ascii="Helvetica" w:hAnsi="Arial Unicode MS" w:eastAsia="Arial Unicode MS" w:cs="Arial Unicode MS"/>
      <w:color w:val="000000"/>
      <w:sz w:val="24"/>
      <w:szCs w:val="24"/>
      <w:lang w:val="en-US" w:eastAsia="zh-CN" w:bidi="ar-SA"/>
    </w:rPr>
  </w:style>
  <w:style w:type="paragraph" w:customStyle="1" w:styleId="24">
    <w:name w:val="Table Paragraph"/>
    <w:basedOn w:val="1"/>
    <w:qFormat/>
    <w:uiPriority w:val="1"/>
    <w:pPr>
      <w:spacing w:before="21"/>
      <w:ind w:left="108"/>
    </w:pPr>
    <w:rPr>
      <w:rFonts w:ascii="宋体" w:hAnsi="宋体" w:eastAsia="宋体" w:cs="宋体"/>
      <w:lang w:val="zh-CN" w:eastAsia="zh-CN" w:bidi="zh-CN"/>
    </w:rPr>
  </w:style>
  <w:style w:type="character" w:customStyle="1" w:styleId="25">
    <w:name w:val="标题 5 Char"/>
    <w:link w:val="5"/>
    <w:qFormat/>
    <w:uiPriority w:val="1"/>
    <w:rPr>
      <w:rFonts w:hint="eastAsia" w:ascii="宋体" w:hAnsi="宋体" w:eastAsia="宋体"/>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5A395F0-BDC6-4B2A-AB0A-454A4D7AF79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398</Words>
  <Characters>2270</Characters>
  <Lines>18</Lines>
  <Paragraphs>5</Paragraphs>
  <TotalTime>5</TotalTime>
  <ScaleCrop>false</ScaleCrop>
  <LinksUpToDate>false</LinksUpToDate>
  <CharactersWithSpaces>2663</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2018-10-26T00:11:00Z</dcterms:created>
  <dc:creator>Microsoft</dc:creator>
  <cp:lastModifiedBy>吕静林</cp:lastModifiedBy>
  <cp:lastPrinted>2020-05-15T00:15:00Z</cp:lastPrinted>
  <dcterms:modified xsi:type="dcterms:W3CDTF">2021-04-12T08:03:58Z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92D8B6F5A9264778AB6754DE876F7A98</vt:lpwstr>
  </property>
</Properties>
</file>