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C8307">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_GB2312" w:hAnsi="仿宋_GB2312" w:eastAsia="仿宋_GB2312" w:cs="仿宋_GB2312"/>
          <w:color w:val="000000"/>
        </w:rPr>
      </w:pPr>
      <w:r>
        <w:rPr>
          <w:rFonts w:hint="eastAsia" w:ascii="仿宋_GB2312" w:hAnsi="仿宋_GB2312" w:eastAsia="仿宋_GB2312" w:cs="仿宋_GB2312"/>
          <w:sz w:val="32"/>
          <w:szCs w:val="32"/>
          <w:highlight w:val="none"/>
          <w:lang w:eastAsia="zh-CN"/>
        </w:rPr>
        <w:t>附件</w:t>
      </w:r>
      <w:bookmarkStart w:id="0" w:name="_GoBack"/>
      <w:bookmarkEnd w:id="0"/>
      <w:r>
        <w:rPr>
          <w:rFonts w:hint="eastAsia" w:ascii="仿宋_GB2312" w:hAnsi="仿宋_GB2312" w:eastAsia="仿宋_GB2312" w:cs="仿宋_GB2312"/>
          <w:sz w:val="32"/>
          <w:szCs w:val="32"/>
          <w:highlight w:val="none"/>
          <w:lang w:eastAsia="zh-CN"/>
        </w:rPr>
        <w:t>：</w:t>
      </w:r>
    </w:p>
    <w:p w14:paraId="4653A125">
      <w:pPr>
        <w:widowControl/>
        <w:numPr>
          <w:ilvl w:val="0"/>
          <w:numId w:val="0"/>
        </w:numPr>
        <w:spacing w:line="500" w:lineRule="atLeast"/>
        <w:ind w:leftChars="0"/>
        <w:jc w:val="center"/>
        <w:rPr>
          <w:rFonts w:hint="eastAsia" w:ascii="仿宋_GB2312" w:hAnsi="仿宋_GB2312" w:eastAsia="仿宋_GB2312" w:cs="仿宋_GB2312"/>
          <w:color w:val="000000"/>
        </w:rPr>
      </w:pPr>
      <w:r>
        <w:rPr>
          <w:rFonts w:hint="eastAsia" w:ascii="仿宋_GB2312" w:hAnsi="仿宋_GB2312" w:eastAsia="仿宋_GB2312" w:cs="仿宋_GB2312"/>
          <w:sz w:val="32"/>
          <w:szCs w:val="32"/>
          <w:highlight w:val="none"/>
          <w:lang w:eastAsia="zh-CN"/>
        </w:rPr>
        <w:t>项目要求</w:t>
      </w:r>
    </w:p>
    <w:p w14:paraId="3E6A08D7">
      <w:pPr>
        <w:widowControl/>
        <w:numPr>
          <w:ilvl w:val="0"/>
          <w:numId w:val="0"/>
        </w:numPr>
        <w:spacing w:line="500" w:lineRule="atLeast"/>
        <w:ind w:leftChars="0"/>
        <w:jc w:val="left"/>
        <w:rPr>
          <w:rFonts w:hint="eastAsia" w:ascii="仿宋_GB2312" w:hAnsi="仿宋_GB2312" w:eastAsia="仿宋_GB2312" w:cs="仿宋_GB2312"/>
          <w:color w:val="000000"/>
        </w:rPr>
      </w:pPr>
      <w:r>
        <w:rPr>
          <w:rFonts w:hint="eastAsia" w:ascii="仿宋_GB2312" w:hAnsi="仿宋_GB2312" w:eastAsia="仿宋_GB2312" w:cs="仿宋_GB2312"/>
          <w:color w:val="000000"/>
          <w:sz w:val="28"/>
          <w:szCs w:val="28"/>
          <w:shd w:val="clear" w:color="auto" w:fill="FFFFFF"/>
          <w:lang w:val="en-US" w:eastAsia="zh-CN"/>
        </w:rPr>
        <w:t>一、施工地点、完工时间、射线防护质量技术要求、验收标准及验收方法</w:t>
      </w:r>
      <w:r>
        <w:rPr>
          <w:rFonts w:hint="eastAsia" w:ascii="仿宋_GB2312" w:hAnsi="仿宋_GB2312" w:eastAsia="仿宋_GB2312" w:cs="仿宋_GB2312"/>
          <w:b/>
          <w:bCs/>
          <w:color w:val="000000"/>
          <w:kern w:val="0"/>
          <w:sz w:val="24"/>
          <w:lang w:bidi="ar"/>
        </w:rPr>
        <w:t xml:space="preserve"> </w:t>
      </w:r>
    </w:p>
    <w:p w14:paraId="14C6DA50">
      <w:pPr>
        <w:numPr>
          <w:ilvl w:val="0"/>
          <w:numId w:val="3"/>
        </w:numPr>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 xml:space="preserve">施工地点：采购人指定地点； </w:t>
      </w:r>
    </w:p>
    <w:p w14:paraId="0CB24271">
      <w:pPr>
        <w:numPr>
          <w:ilvl w:val="0"/>
          <w:numId w:val="3"/>
        </w:numPr>
        <w:ind w:left="0" w:leftChars="0" w:firstLine="0" w:firstLineChars="0"/>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工期：</w:t>
      </w:r>
      <w:r>
        <w:rPr>
          <w:rFonts w:hint="eastAsia" w:ascii="仿宋_GB2312" w:hAnsi="仿宋_GB2312" w:eastAsia="仿宋_GB2312" w:cs="仿宋_GB2312"/>
          <w:color w:val="000000"/>
          <w:sz w:val="28"/>
          <w:szCs w:val="28"/>
          <w:shd w:val="clear" w:color="auto" w:fill="FFFFFF"/>
          <w:lang w:val="en-US" w:eastAsia="zh-CN"/>
        </w:rPr>
        <w:t>3</w:t>
      </w:r>
      <w:r>
        <w:rPr>
          <w:rFonts w:hint="eastAsia" w:ascii="仿宋_GB2312" w:hAnsi="仿宋_GB2312" w:eastAsia="仿宋_GB2312" w:cs="仿宋_GB2312"/>
          <w:color w:val="000000"/>
          <w:sz w:val="28"/>
          <w:szCs w:val="28"/>
          <w:shd w:val="clear" w:color="auto" w:fill="FFFFFF"/>
        </w:rPr>
        <w:t>0</w:t>
      </w:r>
      <w:r>
        <w:rPr>
          <w:rFonts w:hint="eastAsia" w:ascii="仿宋_GB2312" w:hAnsi="仿宋_GB2312" w:eastAsia="仿宋_GB2312" w:cs="仿宋_GB2312"/>
          <w:color w:val="000000"/>
          <w:sz w:val="28"/>
          <w:szCs w:val="28"/>
          <w:shd w:val="clear" w:color="auto" w:fill="FFFFFF"/>
          <w:lang w:val="en-US" w:eastAsia="zh-CN"/>
        </w:rPr>
        <w:t>日历</w:t>
      </w:r>
      <w:r>
        <w:rPr>
          <w:rFonts w:hint="eastAsia" w:ascii="仿宋_GB2312" w:hAnsi="仿宋_GB2312" w:eastAsia="仿宋_GB2312" w:cs="仿宋_GB2312"/>
          <w:color w:val="000000"/>
          <w:sz w:val="28"/>
          <w:szCs w:val="28"/>
          <w:shd w:val="clear" w:color="auto" w:fill="FFFFFF"/>
        </w:rPr>
        <w:t>天；</w:t>
      </w:r>
    </w:p>
    <w:p w14:paraId="4FEE0FCF">
      <w:pPr>
        <w:numPr>
          <w:ilvl w:val="0"/>
          <w:numId w:val="3"/>
        </w:numPr>
        <w:ind w:left="0" w:leftChars="0" w:firstLine="0" w:firstLineChars="0"/>
        <w:rPr>
          <w:rFonts w:hint="eastAsia" w:ascii="仿宋_GB2312" w:hAnsi="仿宋_GB2312" w:eastAsia="仿宋_GB2312" w:cs="仿宋_GB2312"/>
          <w:color w:val="000000"/>
          <w:sz w:val="28"/>
          <w:szCs w:val="28"/>
          <w:shd w:val="clear" w:color="auto" w:fill="FFFFFF"/>
          <w:lang w:val="en-US" w:eastAsia="zh-CN"/>
        </w:rPr>
      </w:pPr>
      <w:r>
        <w:rPr>
          <w:rFonts w:hint="eastAsia" w:ascii="仿宋_GB2312" w:hAnsi="仿宋_GB2312" w:eastAsia="仿宋_GB2312" w:cs="仿宋_GB2312"/>
          <w:color w:val="000000"/>
          <w:sz w:val="28"/>
          <w:szCs w:val="28"/>
          <w:shd w:val="clear" w:color="auto" w:fill="FFFFFF"/>
          <w:lang w:val="en-US" w:eastAsia="zh-CN"/>
        </w:rPr>
        <w:t xml:space="preserve"> 射线防护质量技术要求：《电离辐射防护与辐射源安全基本标准》(GBl8871-2002) 、《职业性外照射个人监测规范》（GBZ128）、《医疗照射放射防护基本要求》（GBZ179-2006）、《医用X射线诊断放射防护要求》（GBZ130-2013）、《Χ射线计算机断层摄影放射防护要求》（GBZ165-2012）。</w:t>
      </w:r>
    </w:p>
    <w:p w14:paraId="3FF49EB5">
      <w:pPr>
        <w:numPr>
          <w:ilvl w:val="0"/>
          <w:numId w:val="3"/>
        </w:numPr>
        <w:ind w:left="0" w:leftChars="0" w:firstLine="0" w:firstLineChars="0"/>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验收标准：符合《建筑工程施工质量验收统一标准》GB50300标准</w:t>
      </w:r>
      <w:r>
        <w:rPr>
          <w:rFonts w:hint="eastAsia" w:ascii="仿宋_GB2312" w:hAnsi="仿宋_GB2312" w:eastAsia="仿宋_GB2312" w:cs="仿宋_GB2312"/>
          <w:color w:val="000000"/>
          <w:sz w:val="28"/>
          <w:szCs w:val="28"/>
          <w:shd w:val="clear" w:color="auto" w:fill="FFFFFF"/>
          <w:lang w:eastAsia="zh-CN"/>
        </w:rPr>
        <w:t>，</w:t>
      </w:r>
      <w:r>
        <w:rPr>
          <w:rFonts w:hint="eastAsia" w:ascii="仿宋_GB2312" w:hAnsi="仿宋_GB2312" w:eastAsia="仿宋_GB2312" w:cs="仿宋_GB2312"/>
          <w:color w:val="000000"/>
          <w:sz w:val="28"/>
          <w:szCs w:val="28"/>
          <w:shd w:val="clear" w:color="auto" w:fill="FFFFFF"/>
          <w:lang w:val="en-US" w:eastAsia="zh-CN"/>
        </w:rPr>
        <w:t>同时满足医疗机构放射性职业病危害建设项目验收</w:t>
      </w:r>
      <w:r>
        <w:rPr>
          <w:rFonts w:hint="eastAsia" w:ascii="仿宋_GB2312" w:hAnsi="仿宋_GB2312" w:eastAsia="仿宋_GB2312" w:cs="仿宋_GB2312"/>
          <w:color w:val="000000"/>
          <w:sz w:val="28"/>
          <w:szCs w:val="28"/>
          <w:shd w:val="clear" w:color="auto" w:fill="FFFFFF"/>
        </w:rPr>
        <w:t>。</w:t>
      </w:r>
    </w:p>
    <w:p w14:paraId="1F173A27">
      <w:pPr>
        <w:numPr>
          <w:ilvl w:val="0"/>
          <w:numId w:val="3"/>
        </w:numPr>
        <w:ind w:left="0" w:leftChars="0" w:firstLine="0" w:firstLineChars="0"/>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验收方法：按照财政部发布的《关于进一步加强政府采购需求和履约验收管理的指导意见》（财库[2016]205 号）的要求以及磋商文件、成交供应商的响应文件进行验收。</w:t>
      </w:r>
    </w:p>
    <w:p w14:paraId="3185861B">
      <w:pPr>
        <w:numPr>
          <w:ilvl w:val="0"/>
          <w:numId w:val="0"/>
        </w:numPr>
        <w:bidi w:val="0"/>
        <w:ind w:left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lang w:val="en-US" w:eastAsia="zh-CN"/>
        </w:rPr>
        <w:t>二、后续服务</w:t>
      </w:r>
    </w:p>
    <w:p w14:paraId="323D7CA0">
      <w:pPr>
        <w:numPr>
          <w:ilvl w:val="0"/>
          <w:numId w:val="4"/>
        </w:numPr>
        <w:ind w:leftChars="0"/>
        <w:rPr>
          <w:rFonts w:hint="eastAsia" w:ascii="仿宋_GB2312" w:hAnsi="仿宋_GB2312" w:eastAsia="仿宋_GB2312" w:cs="仿宋_GB2312"/>
          <w:color w:val="000000"/>
          <w:sz w:val="28"/>
          <w:szCs w:val="28"/>
          <w:shd w:val="clear" w:color="auto" w:fill="FFFFFF"/>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 xml:space="preserve">在规定的质量保修期内，供应商应对由于工艺、材料和安装等缺陷所造成的损失和故障负责； </w:t>
      </w:r>
    </w:p>
    <w:p w14:paraId="7AFC9A05">
      <w:pPr>
        <w:numPr>
          <w:ilvl w:val="0"/>
          <w:numId w:val="4"/>
        </w:numPr>
        <w:ind w:left="0" w:leftChars="0" w:firstLine="0" w:firstLineChars="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color w:val="000000"/>
          <w:sz w:val="28"/>
          <w:szCs w:val="28"/>
          <w:shd w:val="clear" w:color="auto" w:fill="FFFFFF"/>
          <w:lang w:val="en-US" w:eastAsia="zh-CN"/>
        </w:rPr>
        <w:t xml:space="preserve"> </w:t>
      </w:r>
      <w:r>
        <w:rPr>
          <w:rFonts w:hint="eastAsia" w:ascii="仿宋_GB2312" w:hAnsi="仿宋_GB2312" w:eastAsia="仿宋_GB2312" w:cs="仿宋_GB2312"/>
          <w:color w:val="000000"/>
          <w:sz w:val="28"/>
          <w:szCs w:val="28"/>
          <w:shd w:val="clear" w:color="auto" w:fill="FFFFFF"/>
        </w:rPr>
        <w:t xml:space="preserve">质保期为验收合格后24个月。质保期内出现质量问题，成交供应商在接到通知后4小时内响应到场，12小时内完成维修或更换，并承担修理调换的费用。 </w:t>
      </w:r>
    </w:p>
    <w:p w14:paraId="0595D444">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32"/>
          <w:szCs w:val="32"/>
          <w:highlight w:val="none"/>
          <w:lang w:eastAsia="zh-CN"/>
        </w:rPr>
      </w:pPr>
    </w:p>
    <w:p w14:paraId="55217A50">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32"/>
          <w:szCs w:val="32"/>
          <w:highlight w:val="none"/>
          <w:lang w:val="en-US" w:eastAsia="zh-CN"/>
        </w:rPr>
      </w:pPr>
    </w:p>
    <w:p w14:paraId="597C22CA">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32"/>
          <w:szCs w:val="32"/>
          <w:highlight w:val="none"/>
          <w:lang w:val="en-US" w:eastAsia="zh-CN"/>
        </w:rPr>
      </w:pPr>
    </w:p>
    <w:p w14:paraId="2A779363">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8"/>
          <w:szCs w:val="28"/>
          <w:highlight w:val="none"/>
          <w:lang w:val="en-US" w:eastAsia="zh-CN"/>
        </w:rPr>
      </w:pPr>
      <w:r>
        <w:rPr>
          <w:rFonts w:hint="eastAsia" w:ascii="仿宋_GB2312" w:hAnsi="仿宋_GB2312" w:eastAsia="仿宋_GB2312" w:cs="仿宋_GB2312"/>
          <w:sz w:val="28"/>
          <w:szCs w:val="28"/>
          <w:highlight w:val="none"/>
          <w:lang w:val="en-US" w:eastAsia="zh-CN"/>
        </w:rPr>
        <w:t>附件4：</w:t>
      </w:r>
    </w:p>
    <w:p w14:paraId="224FB99D">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评分细则</w:t>
      </w:r>
    </w:p>
    <w:tbl>
      <w:tblPr>
        <w:tblStyle w:val="18"/>
        <w:tblW w:w="10150" w:type="dxa"/>
        <w:tblInd w:w="-4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25"/>
        <w:gridCol w:w="1013"/>
        <w:gridCol w:w="437"/>
        <w:gridCol w:w="538"/>
        <w:gridCol w:w="5987"/>
        <w:gridCol w:w="63"/>
        <w:gridCol w:w="1287"/>
      </w:tblGrid>
      <w:tr w14:paraId="04AFF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5ECFA">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序号</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BB2308">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评分因素及权重</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B713D">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分值</w:t>
            </w:r>
          </w:p>
        </w:tc>
        <w:tc>
          <w:tcPr>
            <w:tcW w:w="60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E9896">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评分标准</w:t>
            </w: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73854">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1"/>
                <w:szCs w:val="21"/>
                <w:u w:val="none"/>
              </w:rPr>
            </w:pPr>
            <w:r>
              <w:rPr>
                <w:rFonts w:hint="eastAsia" w:ascii="仿宋_GB2312" w:hAnsi="仿宋_GB2312" w:eastAsia="仿宋_GB2312" w:cs="仿宋_GB2312"/>
                <w:b/>
                <w:bCs/>
                <w:i w:val="0"/>
                <w:iCs w:val="0"/>
                <w:color w:val="000000"/>
                <w:kern w:val="0"/>
                <w:sz w:val="21"/>
                <w:szCs w:val="21"/>
                <w:u w:val="none"/>
                <w:lang w:val="en-US" w:eastAsia="zh-CN" w:bidi="ar"/>
              </w:rPr>
              <w:t>备注</w:t>
            </w:r>
          </w:p>
        </w:tc>
      </w:tr>
      <w:tr w14:paraId="7AFC39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5"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5DE99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EC176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报价30%</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61B38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30分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09C6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1、投标报价超过招标控制价不得分。2、报价得分，以最低价除以各投标价格乘以分值，为各公司报价得分；其中最低报价的满分。3、报价得分=（最低价÷投标报价）×30分。</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6C76B">
            <w:pPr>
              <w:jc w:val="center"/>
              <w:rPr>
                <w:rFonts w:hint="eastAsia" w:ascii="仿宋_GB2312" w:hAnsi="仿宋_GB2312" w:eastAsia="仿宋_GB2312" w:cs="仿宋_GB2312"/>
                <w:i w:val="0"/>
                <w:iCs w:val="0"/>
                <w:color w:val="000000"/>
                <w:sz w:val="21"/>
                <w:szCs w:val="21"/>
                <w:u w:val="none"/>
              </w:rPr>
            </w:pPr>
          </w:p>
        </w:tc>
      </w:tr>
      <w:tr w14:paraId="408E8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ABBE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91953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履约能力3%</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692E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B77C7">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根据供应商2023年1月以来 提供的同类业绩进行评分。每提供一个类似业绩得1分，本项最多得3分。不提供不得分。</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6A7D6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提供合同复印件及竣工验收复印件并加盖鲜章</w:t>
            </w:r>
          </w:p>
        </w:tc>
      </w:tr>
      <w:tr w14:paraId="1343B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25"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10CE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3</w:t>
            </w:r>
          </w:p>
        </w:tc>
        <w:tc>
          <w:tcPr>
            <w:tcW w:w="101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7C01C">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施工方案50%</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6FB7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项目施工方案</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79CD6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BB49">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项目施工方案进行评审，方案内容至少包含：（1）项目部各职能机构设置（2）本项目施工的具体方法与流程（3）施工环节针对医院环境的注意事项及施工现场管控措施（4）施工组织管理体系（5）为保证医院门诊大楼正常运行，对本项目施工过程中的重难点分析及应对措施。</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方案完整包含以上内容且满足本项目要求得10分，每缺一项扣2分，每有一处不符合本项目特点或实际采购需求的扣1分，本项最多扣10分。</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备注：不符合本项目特点或实际采购需求指：项目名称、实施地点、涉及的规范、标准与本项目要求不一致；不符合本项目实际需求的等情况，此处“等”为等外的意思。</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3AA1F1">
            <w:pPr>
              <w:jc w:val="center"/>
              <w:rPr>
                <w:rFonts w:hint="eastAsia" w:ascii="仿宋_GB2312" w:hAnsi="仿宋_GB2312" w:eastAsia="仿宋_GB2312" w:cs="仿宋_GB2312"/>
                <w:i w:val="0"/>
                <w:iCs w:val="0"/>
                <w:color w:val="000000"/>
                <w:sz w:val="21"/>
                <w:szCs w:val="21"/>
                <w:u w:val="none"/>
              </w:rPr>
            </w:pPr>
          </w:p>
        </w:tc>
      </w:tr>
      <w:tr w14:paraId="109314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95"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A52D42">
            <w:pPr>
              <w:jc w:val="center"/>
              <w:rPr>
                <w:rFonts w:hint="eastAsia" w:ascii="仿宋_GB2312" w:hAnsi="仿宋_GB2312" w:eastAsia="仿宋_GB2312" w:cs="仿宋_GB2312"/>
                <w:i w:val="0"/>
                <w:iCs w:val="0"/>
                <w:color w:val="000000"/>
                <w:sz w:val="21"/>
                <w:szCs w:val="21"/>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4515BB">
            <w:pPr>
              <w:jc w:val="center"/>
              <w:rPr>
                <w:rFonts w:hint="eastAsia" w:ascii="仿宋_GB2312" w:hAnsi="仿宋_GB2312" w:eastAsia="仿宋_GB2312" w:cs="仿宋_GB2312"/>
                <w:i w:val="0"/>
                <w:iCs w:val="0"/>
                <w:color w:val="000000"/>
                <w:sz w:val="21"/>
                <w:szCs w:val="21"/>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2F0E2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质量保证措施</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2D06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5C81B1">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评审小组根据供应商针对本项目提供的质量保证措施进行评审，措施内容至少包含：（1）质量管理目标（2）质量管理体系（3）施工原材料质量保证措施（4）工程施工的质量保证措施。</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方案完整包含以上内容且满足本项目要求得10分，每缺一项扣2.5分，每有一处不符合本项目特点或实际采购需求的扣2分，本项最多扣10分。</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备注：不符合本项目特点或实际采购需求指：项目名称、实施地点、涉及的规范、标准与本项目要求不一致；不符合本项目实际需求的等情况，此处“等”为等外的意思。</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0714AF">
            <w:pPr>
              <w:jc w:val="center"/>
              <w:rPr>
                <w:rFonts w:hint="eastAsia" w:ascii="仿宋_GB2312" w:hAnsi="仿宋_GB2312" w:eastAsia="仿宋_GB2312" w:cs="仿宋_GB2312"/>
                <w:i w:val="0"/>
                <w:iCs w:val="0"/>
                <w:color w:val="000000"/>
                <w:sz w:val="21"/>
                <w:szCs w:val="21"/>
                <w:u w:val="none"/>
              </w:rPr>
            </w:pPr>
          </w:p>
        </w:tc>
      </w:tr>
      <w:tr w14:paraId="3F1F9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10"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EDF66B">
            <w:pPr>
              <w:jc w:val="center"/>
              <w:rPr>
                <w:rFonts w:hint="eastAsia" w:ascii="仿宋_GB2312" w:hAnsi="仿宋_GB2312" w:eastAsia="仿宋_GB2312" w:cs="仿宋_GB2312"/>
                <w:i w:val="0"/>
                <w:iCs w:val="0"/>
                <w:color w:val="000000"/>
                <w:sz w:val="21"/>
                <w:szCs w:val="21"/>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843C1A">
            <w:pPr>
              <w:jc w:val="center"/>
              <w:rPr>
                <w:rFonts w:hint="eastAsia" w:ascii="仿宋_GB2312" w:hAnsi="仿宋_GB2312" w:eastAsia="仿宋_GB2312" w:cs="仿宋_GB2312"/>
                <w:i w:val="0"/>
                <w:iCs w:val="0"/>
                <w:color w:val="000000"/>
                <w:sz w:val="21"/>
                <w:szCs w:val="21"/>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F324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安全管理体系与措施</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C342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1637">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评审小组根据供应商针对本项目提供的安全管理体系与措施进行评审，内容至少包含：（1）安全生产管理目标（2）安全管理体系及职责划分（3）安全技术措施（4）安全应急救援预案。</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方案完整包含以上内容且满足本项目要求得10分，每缺一项扣2.5分，每有一处不符合本项目特点或实际采购需求的扣2分，本项最多扣10分。</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备注：不符合本项目特点或实际采购需求指：项目名称、实施地点、涉及的规范、标准与本项目要求不一致；不符合本项目实际需求的等情况，此处“等”为等外的意思。</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06E5C">
            <w:pPr>
              <w:jc w:val="center"/>
              <w:rPr>
                <w:rFonts w:hint="eastAsia" w:ascii="仿宋_GB2312" w:hAnsi="仿宋_GB2312" w:eastAsia="仿宋_GB2312" w:cs="仿宋_GB2312"/>
                <w:i w:val="0"/>
                <w:iCs w:val="0"/>
                <w:color w:val="000000"/>
                <w:sz w:val="21"/>
                <w:szCs w:val="21"/>
                <w:u w:val="none"/>
              </w:rPr>
            </w:pPr>
          </w:p>
        </w:tc>
      </w:tr>
      <w:tr w14:paraId="494A00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20"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F9FAAB">
            <w:pPr>
              <w:jc w:val="center"/>
              <w:rPr>
                <w:rFonts w:hint="eastAsia" w:ascii="仿宋_GB2312" w:hAnsi="仿宋_GB2312" w:eastAsia="仿宋_GB2312" w:cs="仿宋_GB2312"/>
                <w:i w:val="0"/>
                <w:iCs w:val="0"/>
                <w:color w:val="000000"/>
                <w:sz w:val="21"/>
                <w:szCs w:val="21"/>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82DF93">
            <w:pPr>
              <w:jc w:val="center"/>
              <w:rPr>
                <w:rFonts w:hint="eastAsia" w:ascii="仿宋_GB2312" w:hAnsi="仿宋_GB2312" w:eastAsia="仿宋_GB2312" w:cs="仿宋_GB2312"/>
                <w:i w:val="0"/>
                <w:iCs w:val="0"/>
                <w:color w:val="000000"/>
                <w:sz w:val="21"/>
                <w:szCs w:val="21"/>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7C2C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环保和文明施工措施</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FBDA5">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8分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126BF">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评审小组根据供应商针对本项目提供的环保和文明施工措施进行评审，方案内容至少包含：（1）环境保护管理目标（2）噪音控制管理措施（3）扬尘管理措施（4）施工现场环境管理和污染物处理及排放措施。</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方案完整包含以上内容且满足本项目要求得8分，每缺一项扣2分，每有一处不符合本项目特点或实际采购需求的扣1分，本项最多扣8分。</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备注：不符合本项目特点或实际采购需求指：项目名称、实施地点、涉及的规范、标准与本项目要求不一致；不符合本项目实际需求的等情况，此处“等”为等外的意思。</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BC2391">
            <w:pPr>
              <w:jc w:val="center"/>
              <w:rPr>
                <w:rFonts w:hint="eastAsia" w:ascii="仿宋_GB2312" w:hAnsi="仿宋_GB2312" w:eastAsia="仿宋_GB2312" w:cs="仿宋_GB2312"/>
                <w:i w:val="0"/>
                <w:iCs w:val="0"/>
                <w:color w:val="000000"/>
                <w:sz w:val="21"/>
                <w:szCs w:val="21"/>
                <w:u w:val="none"/>
              </w:rPr>
            </w:pPr>
          </w:p>
        </w:tc>
      </w:tr>
      <w:tr w14:paraId="40A9D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28" w:hRule="atLeast"/>
        </w:trPr>
        <w:tc>
          <w:tcPr>
            <w:tcW w:w="825"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D17DC">
            <w:pPr>
              <w:jc w:val="center"/>
              <w:rPr>
                <w:rFonts w:hint="eastAsia" w:ascii="仿宋_GB2312" w:hAnsi="仿宋_GB2312" w:eastAsia="仿宋_GB2312" w:cs="仿宋_GB2312"/>
                <w:i w:val="0"/>
                <w:iCs w:val="0"/>
                <w:color w:val="000000"/>
                <w:sz w:val="21"/>
                <w:szCs w:val="21"/>
                <w:u w:val="none"/>
              </w:rPr>
            </w:pPr>
          </w:p>
        </w:tc>
        <w:tc>
          <w:tcPr>
            <w:tcW w:w="101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753D6A">
            <w:pPr>
              <w:jc w:val="center"/>
              <w:rPr>
                <w:rFonts w:hint="eastAsia" w:ascii="仿宋_GB2312" w:hAnsi="仿宋_GB2312" w:eastAsia="仿宋_GB2312" w:cs="仿宋_GB2312"/>
                <w:i w:val="0"/>
                <w:iCs w:val="0"/>
                <w:color w:val="000000"/>
                <w:sz w:val="21"/>
                <w:szCs w:val="21"/>
                <w:u w:val="none"/>
              </w:rPr>
            </w:pP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BD497">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工程进度计划</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29D2D">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12分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9C9D">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评审小组根据供应商针对本项目提供的工程进度计划方案进行评审，方案内容至少包含：（1）工程进度计划时间安排及计划（2）影响工程施工的因素分析及解决措施（3）进度保障措施、纠偏措施。</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方案完整包含以上内容且满足本项目要求得12分，每缺一项扣4分，每有一处不符合本项目特点或实际采购需求的扣3分，本项最多扣12分。</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备注：不符合本项目特点或实际采购需求指：项目名称、实施地点、涉及的规范、标准与本项目要求不一致；不符合本项目实际需求的等情况，此处“等”为等外的意思。</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C51599">
            <w:pPr>
              <w:jc w:val="center"/>
              <w:rPr>
                <w:rFonts w:hint="eastAsia" w:ascii="仿宋_GB2312" w:hAnsi="仿宋_GB2312" w:eastAsia="仿宋_GB2312" w:cs="仿宋_GB2312"/>
                <w:i w:val="0"/>
                <w:iCs w:val="0"/>
                <w:color w:val="000000"/>
                <w:sz w:val="21"/>
                <w:szCs w:val="21"/>
                <w:u w:val="none"/>
              </w:rPr>
            </w:pPr>
          </w:p>
        </w:tc>
      </w:tr>
      <w:tr w14:paraId="6232C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7"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1040E">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4</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DF7A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现场磋商情况5%</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C01CA9">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A955F">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根据现场评审委员会与供应商相关补充要求磋商的结果进行评比，应答为优的得5分，较好的得4分，一般的得3分，差的得1分。</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9FF642">
            <w:pPr>
              <w:jc w:val="center"/>
              <w:rPr>
                <w:rFonts w:hint="eastAsia" w:ascii="仿宋_GB2312" w:hAnsi="仿宋_GB2312" w:eastAsia="仿宋_GB2312" w:cs="仿宋_GB2312"/>
                <w:i w:val="0"/>
                <w:iCs w:val="0"/>
                <w:color w:val="000000"/>
                <w:sz w:val="21"/>
                <w:szCs w:val="21"/>
                <w:u w:val="none"/>
              </w:rPr>
            </w:pPr>
          </w:p>
        </w:tc>
      </w:tr>
      <w:tr w14:paraId="733EAC8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0"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B788A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5</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2303B">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材料检测报告2%</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8D0BA">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2分</w:t>
            </w:r>
          </w:p>
        </w:tc>
        <w:tc>
          <w:tcPr>
            <w:tcW w:w="59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1ADD3">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本项目主要涉及四种防护材料：铅板、防护涂料、防护门、铅玻璃，均具有中国疾病预防控制中心辐射防护与核安全医学所出具的合格的检测报告，得2分，没有防护材料的检测报告，扣2分。</w:t>
            </w:r>
          </w:p>
        </w:tc>
        <w:tc>
          <w:tcPr>
            <w:tcW w:w="13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B412C">
            <w:pPr>
              <w:jc w:val="center"/>
              <w:rPr>
                <w:rFonts w:hint="eastAsia" w:ascii="仿宋_GB2312" w:hAnsi="仿宋_GB2312" w:eastAsia="仿宋_GB2312" w:cs="仿宋_GB2312"/>
                <w:i w:val="0"/>
                <w:iCs w:val="0"/>
                <w:color w:val="000000"/>
                <w:sz w:val="21"/>
                <w:szCs w:val="21"/>
                <w:u w:val="none"/>
              </w:rPr>
            </w:pPr>
          </w:p>
        </w:tc>
      </w:tr>
      <w:tr w14:paraId="4DCBF4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60" w:hRule="atLeast"/>
        </w:trPr>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07300">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6</w:t>
            </w:r>
          </w:p>
        </w:tc>
        <w:tc>
          <w:tcPr>
            <w:tcW w:w="145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0AE0FF">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质保服务10%</w:t>
            </w:r>
          </w:p>
        </w:tc>
        <w:tc>
          <w:tcPr>
            <w:tcW w:w="53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5203E1">
            <w:pPr>
              <w:keepNext w:val="0"/>
              <w:keepLines w:val="0"/>
              <w:widowControl/>
              <w:suppressLineNumbers w:val="0"/>
              <w:jc w:val="center"/>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10分</w:t>
            </w:r>
          </w:p>
        </w:tc>
        <w:tc>
          <w:tcPr>
            <w:tcW w:w="60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F95A0B">
            <w:pPr>
              <w:keepNext w:val="0"/>
              <w:keepLines w:val="0"/>
              <w:widowControl/>
              <w:suppressLineNumbers w:val="0"/>
              <w:jc w:val="left"/>
              <w:textAlignment w:val="center"/>
              <w:rPr>
                <w:rFonts w:hint="eastAsia" w:ascii="仿宋_GB2312" w:hAnsi="仿宋_GB2312" w:eastAsia="仿宋_GB2312" w:cs="仿宋_GB2312"/>
                <w:i w:val="0"/>
                <w:iCs w:val="0"/>
                <w:color w:val="000000"/>
                <w:sz w:val="21"/>
                <w:szCs w:val="21"/>
                <w:u w:val="none"/>
              </w:rPr>
            </w:pPr>
            <w:r>
              <w:rPr>
                <w:rFonts w:hint="eastAsia" w:ascii="仿宋_GB2312" w:hAnsi="仿宋_GB2312" w:eastAsia="仿宋_GB2312" w:cs="仿宋_GB2312"/>
                <w:i w:val="0"/>
                <w:iCs w:val="0"/>
                <w:color w:val="000000"/>
                <w:kern w:val="0"/>
                <w:sz w:val="21"/>
                <w:szCs w:val="21"/>
                <w:u w:val="none"/>
                <w:lang w:val="en-US" w:eastAsia="zh-CN" w:bidi="ar"/>
              </w:rPr>
              <w:t>评审小组根据供应商针对本项目提供的后续服务方案进行评审，方案内容至少包含：（1）质保期内外服务措施（2）响应时间及问题处理措施（3）后续服务质量保障措施（4）针对本项目提供的后续服务人员配备方案及服务承诺。</w:t>
            </w:r>
            <w:r>
              <w:rPr>
                <w:rFonts w:hint="eastAsia" w:ascii="仿宋_GB2312" w:hAnsi="仿宋_GB2312" w:eastAsia="仿宋_GB2312" w:cs="仿宋_GB2312"/>
                <w:i w:val="0"/>
                <w:iCs w:val="0"/>
                <w:color w:val="000000"/>
                <w:kern w:val="0"/>
                <w:sz w:val="21"/>
                <w:szCs w:val="21"/>
                <w:u w:val="none"/>
                <w:lang w:val="en-US" w:eastAsia="zh-CN" w:bidi="ar"/>
              </w:rPr>
              <w:br w:type="textWrapping"/>
            </w:r>
            <w:r>
              <w:rPr>
                <w:rFonts w:hint="eastAsia" w:ascii="仿宋_GB2312" w:hAnsi="仿宋_GB2312" w:eastAsia="仿宋_GB2312" w:cs="仿宋_GB2312"/>
                <w:i w:val="0"/>
                <w:iCs w:val="0"/>
                <w:color w:val="000000"/>
                <w:kern w:val="0"/>
                <w:sz w:val="21"/>
                <w:szCs w:val="21"/>
                <w:u w:val="none"/>
                <w:lang w:val="en-US" w:eastAsia="zh-CN" w:bidi="ar"/>
              </w:rPr>
              <w:t>方案完整包含以上内容且满足本项目要求得10分，每缺一项扣2.5分，每有一处不符合本项目特点或实际采购需求的扣1分，本项最多扣10分。</w:t>
            </w:r>
          </w:p>
        </w:tc>
        <w:tc>
          <w:tcPr>
            <w:tcW w:w="128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9623F">
            <w:pPr>
              <w:jc w:val="center"/>
              <w:rPr>
                <w:rFonts w:hint="eastAsia" w:ascii="仿宋_GB2312" w:hAnsi="仿宋_GB2312" w:eastAsia="仿宋_GB2312" w:cs="仿宋_GB2312"/>
                <w:i w:val="0"/>
                <w:iCs w:val="0"/>
                <w:color w:val="000000"/>
                <w:sz w:val="21"/>
                <w:szCs w:val="21"/>
                <w:u w:val="none"/>
              </w:rPr>
            </w:pPr>
          </w:p>
        </w:tc>
      </w:tr>
    </w:tbl>
    <w:p w14:paraId="7DEE7641">
      <w:pPr>
        <w:keepNext w:val="0"/>
        <w:keepLines w:val="0"/>
        <w:pageBreakBefore w:val="0"/>
        <w:kinsoku/>
        <w:wordWrap/>
        <w:overflowPunct/>
        <w:topLinePunct w:val="0"/>
        <w:autoSpaceDE/>
        <w:autoSpaceDN/>
        <w:bidi w:val="0"/>
        <w:adjustRightInd/>
        <w:snapToGrid/>
        <w:spacing w:line="500" w:lineRule="exact"/>
        <w:jc w:val="both"/>
        <w:textAlignment w:val="auto"/>
        <w:rPr>
          <w:rFonts w:hint="eastAsia" w:ascii="仿宋_GB2312" w:hAnsi="仿宋_GB2312" w:eastAsia="仿宋_GB2312" w:cs="仿宋_GB2312"/>
          <w:sz w:val="24"/>
          <w:szCs w:val="24"/>
          <w:highlight w:val="none"/>
          <w:lang w:val="en-US" w:eastAsia="zh-CN"/>
        </w:rPr>
      </w:pPr>
    </w:p>
    <w:p w14:paraId="1D348A0E">
      <w:pPr>
        <w:pStyle w:val="8"/>
        <w:rPr>
          <w:rFonts w:hint="eastAsia" w:ascii="仿宋_GB2312" w:hAnsi="仿宋_GB2312" w:eastAsia="仿宋_GB2312" w:cs="仿宋_GB2312"/>
          <w:sz w:val="24"/>
          <w:szCs w:val="24"/>
          <w:lang w:val="en-US" w:eastAsia="zh-CN"/>
        </w:rPr>
      </w:pPr>
    </w:p>
    <w:p w14:paraId="34B2C224">
      <w:pPr>
        <w:pStyle w:val="8"/>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b/>
          <w:bCs/>
          <w:color w:val="auto"/>
          <w:sz w:val="24"/>
          <w:szCs w:val="24"/>
          <w:highlight w:val="none"/>
          <w:lang w:eastAsia="zh-CN"/>
        </w:rPr>
        <w:t>注：</w:t>
      </w:r>
      <w:r>
        <w:rPr>
          <w:rFonts w:hint="eastAsia" w:ascii="仿宋_GB2312" w:hAnsi="仿宋_GB2312" w:eastAsia="仿宋_GB2312" w:cs="仿宋_GB2312"/>
          <w:b/>
          <w:bCs/>
          <w:color w:val="auto"/>
          <w:sz w:val="24"/>
          <w:szCs w:val="24"/>
          <w:highlight w:val="none"/>
          <w:lang w:val="en-US" w:eastAsia="zh-CN"/>
        </w:rPr>
        <w:t>本表中</w:t>
      </w:r>
      <w:r>
        <w:rPr>
          <w:rFonts w:hint="eastAsia" w:ascii="仿宋_GB2312" w:hAnsi="仿宋_GB2312" w:eastAsia="仿宋_GB2312" w:cs="仿宋_GB2312"/>
          <w:b/>
          <w:bCs/>
          <w:color w:val="auto"/>
          <w:sz w:val="24"/>
          <w:szCs w:val="24"/>
          <w:highlight w:val="none"/>
          <w:lang w:eastAsia="zh-CN"/>
        </w:rPr>
        <w:t>的评分取值按四舍五入法，小数点后保留两位。</w:t>
      </w:r>
    </w:p>
    <w:sectPr>
      <w:footerReference r:id="rId3" w:type="default"/>
      <w:pgSz w:w="11906" w:h="16838"/>
      <w:pgMar w:top="1134" w:right="1418" w:bottom="851" w:left="1418"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Helvetica">
    <w:altName w:val="Arial"/>
    <w:panose1 w:val="020B0604020202020204"/>
    <w:charset w:val="00"/>
    <w:family w:val="swiss"/>
    <w:pitch w:val="default"/>
    <w:sig w:usb0="00000000" w:usb1="00000000" w:usb2="00000009" w:usb3="00000000" w:csb0="000001FF" w:csb1="00000000"/>
  </w:font>
  <w:font w:name="Arial Unicode MS">
    <w:altName w:val="Arial"/>
    <w:panose1 w:val="020B0604020202020204"/>
    <w:charset w:val="00"/>
    <w:family w:val="auto"/>
    <w:pitch w:val="default"/>
    <w:sig w:usb0="00000000" w:usb1="00000000" w:usb2="0000003F" w:usb3="00000000" w:csb0="003F01FF"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9C231">
    <w:pPr>
      <w:pStyle w:val="12"/>
      <w:jc w:val="center"/>
    </w:pPr>
  </w:p>
  <w:p w14:paraId="77B4675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052A8"/>
    <w:multiLevelType w:val="singleLevel"/>
    <w:tmpl w:val="AD4052A8"/>
    <w:lvl w:ilvl="0" w:tentative="0">
      <w:start w:val="1"/>
      <w:numFmt w:val="decimal"/>
      <w:suff w:val="space"/>
      <w:lvlText w:val="%1、"/>
      <w:lvlJc w:val="left"/>
    </w:lvl>
  </w:abstractNum>
  <w:abstractNum w:abstractNumId="1">
    <w:nsid w:val="FC30A2D0"/>
    <w:multiLevelType w:val="singleLevel"/>
    <w:tmpl w:val="FC30A2D0"/>
    <w:lvl w:ilvl="0" w:tentative="0">
      <w:start w:val="1"/>
      <w:numFmt w:val="decimal"/>
      <w:suff w:val="space"/>
      <w:lvlText w:val="%1、"/>
      <w:lvlJc w:val="left"/>
    </w:lvl>
  </w:abstractNum>
  <w:abstractNum w:abstractNumId="2">
    <w:nsid w:val="30942FA6"/>
    <w:multiLevelType w:val="singleLevel"/>
    <w:tmpl w:val="30942FA6"/>
    <w:lvl w:ilvl="0" w:tentative="0">
      <w:start w:val="1"/>
      <w:numFmt w:val="decimal"/>
      <w:pStyle w:val="51"/>
      <w:lvlText w:val="%1."/>
      <w:lvlJc w:val="left"/>
      <w:pPr>
        <w:ind w:left="425" w:hanging="425"/>
      </w:pPr>
      <w:rPr>
        <w:rFonts w:hint="default"/>
      </w:rPr>
    </w:lvl>
  </w:abstractNum>
  <w:abstractNum w:abstractNumId="3">
    <w:nsid w:val="3EBB3C91"/>
    <w:multiLevelType w:val="multilevel"/>
    <w:tmpl w:val="3EBB3C91"/>
    <w:lvl w:ilvl="0" w:tentative="0">
      <w:start w:val="1"/>
      <w:numFmt w:val="chineseCountingThousand"/>
      <w:suff w:val="space"/>
      <w:lvlText w:val="%1. "/>
      <w:lvlJc w:val="left"/>
      <w:pPr>
        <w:ind w:left="907" w:hanging="907"/>
      </w:pPr>
      <w:rPr>
        <w:rFonts w:hint="eastAsia"/>
      </w:rPr>
    </w:lvl>
    <w:lvl w:ilvl="1" w:tentative="0">
      <w:start w:val="1"/>
      <w:numFmt w:val="decimal"/>
      <w:isLgl/>
      <w:suff w:val="space"/>
      <w:lvlText w:val="%1.%2 "/>
      <w:lvlJc w:val="left"/>
      <w:pPr>
        <w:ind w:left="794" w:hanging="794"/>
      </w:pPr>
    </w:lvl>
    <w:lvl w:ilvl="2" w:tentative="0">
      <w:start w:val="0"/>
      <w:numFmt w:val="none"/>
      <w:lvlText w:val=""/>
      <w:lvlJc w:val="left"/>
      <w:pPr>
        <w:tabs>
          <w:tab w:val="left" w:pos="360"/>
        </w:tabs>
      </w:pPr>
      <w:rPr>
        <w:rFonts w:cs="Times New Roman"/>
      </w:rPr>
    </w:lvl>
    <w:lvl w:ilvl="3" w:tentative="0">
      <w:start w:val="0"/>
      <w:numFmt w:val="none"/>
      <w:lvlText w:val=""/>
      <w:lvlJc w:val="left"/>
      <w:pPr>
        <w:tabs>
          <w:tab w:val="left" w:pos="360"/>
        </w:tabs>
      </w:pPr>
      <w:rPr>
        <w:rFonts w:cs="Times New Roman"/>
      </w:rPr>
    </w:lvl>
    <w:lvl w:ilvl="4" w:tentative="0">
      <w:start w:val="0"/>
      <w:numFmt w:val="decimal"/>
      <w:pStyle w:val="48"/>
      <w:lvlText w:val=""/>
      <w:lvlJc w:val="left"/>
      <w:rPr>
        <w:rFonts w:cs="Times New Roman"/>
      </w:rPr>
    </w:lvl>
    <w:lvl w:ilvl="5" w:tentative="0">
      <w:start w:val="0"/>
      <w:numFmt w:val="decimal"/>
      <w:lvlText w:val=""/>
      <w:lvlJc w:val="left"/>
      <w:rPr>
        <w:rFonts w:cs="Times New Roman"/>
      </w:rPr>
    </w:lvl>
    <w:lvl w:ilvl="6" w:tentative="0">
      <w:start w:val="0"/>
      <w:numFmt w:val="decimal"/>
      <w:lvlText w:val=""/>
      <w:lvlJc w:val="left"/>
      <w:rPr>
        <w:rFonts w:cs="Times New Roman"/>
      </w:rPr>
    </w:lvl>
    <w:lvl w:ilvl="7" w:tentative="0">
      <w:start w:val="0"/>
      <w:numFmt w:val="decimal"/>
      <w:lvlText w:val=""/>
      <w:lvlJc w:val="left"/>
      <w:rPr>
        <w:rFonts w:cs="Times New Roman"/>
      </w:rPr>
    </w:lvl>
    <w:lvl w:ilvl="8" w:tentative="0">
      <w:start w:val="0"/>
      <w:numFmt w:val="decimal"/>
      <w:lvlText w:val=""/>
      <w:lvlJc w:val="left"/>
      <w:rPr>
        <w:rFonts w:cs="Times New Roman"/>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QwMGZiM2I2N2E5NTM5YjM1OTU4N2UwNzJlMWE3MGIifQ=="/>
  </w:docVars>
  <w:rsids>
    <w:rsidRoot w:val="005908C4"/>
    <w:rsid w:val="0007772F"/>
    <w:rsid w:val="000D3AEE"/>
    <w:rsid w:val="001727A2"/>
    <w:rsid w:val="002046A0"/>
    <w:rsid w:val="00235B6F"/>
    <w:rsid w:val="00242C11"/>
    <w:rsid w:val="00260F11"/>
    <w:rsid w:val="003D1E3F"/>
    <w:rsid w:val="003D388A"/>
    <w:rsid w:val="003E17A2"/>
    <w:rsid w:val="00444380"/>
    <w:rsid w:val="00462EED"/>
    <w:rsid w:val="00590092"/>
    <w:rsid w:val="005908C4"/>
    <w:rsid w:val="00602A36"/>
    <w:rsid w:val="006703E3"/>
    <w:rsid w:val="00697163"/>
    <w:rsid w:val="006F2EAA"/>
    <w:rsid w:val="00715237"/>
    <w:rsid w:val="007C5D34"/>
    <w:rsid w:val="0086482A"/>
    <w:rsid w:val="00892C9F"/>
    <w:rsid w:val="009727B2"/>
    <w:rsid w:val="009F1FC1"/>
    <w:rsid w:val="00AA4A32"/>
    <w:rsid w:val="00AE688E"/>
    <w:rsid w:val="00B006EB"/>
    <w:rsid w:val="00D528DA"/>
    <w:rsid w:val="00D76B45"/>
    <w:rsid w:val="00E207B4"/>
    <w:rsid w:val="00E55561"/>
    <w:rsid w:val="00E5722A"/>
    <w:rsid w:val="00E66588"/>
    <w:rsid w:val="00F14389"/>
    <w:rsid w:val="01147703"/>
    <w:rsid w:val="017B774E"/>
    <w:rsid w:val="01EE6549"/>
    <w:rsid w:val="01FA5E63"/>
    <w:rsid w:val="027E613F"/>
    <w:rsid w:val="055C5637"/>
    <w:rsid w:val="061007E8"/>
    <w:rsid w:val="064253DE"/>
    <w:rsid w:val="06485E03"/>
    <w:rsid w:val="06AE1485"/>
    <w:rsid w:val="086C6822"/>
    <w:rsid w:val="08C412EB"/>
    <w:rsid w:val="08CB0808"/>
    <w:rsid w:val="08DE4018"/>
    <w:rsid w:val="08F4624B"/>
    <w:rsid w:val="09127629"/>
    <w:rsid w:val="0A380E25"/>
    <w:rsid w:val="0B0867F5"/>
    <w:rsid w:val="0B660F7D"/>
    <w:rsid w:val="0D051B42"/>
    <w:rsid w:val="0D4A3861"/>
    <w:rsid w:val="0E9737D0"/>
    <w:rsid w:val="0F437DB4"/>
    <w:rsid w:val="0F6B3960"/>
    <w:rsid w:val="0F724942"/>
    <w:rsid w:val="119D4B1B"/>
    <w:rsid w:val="14706BA3"/>
    <w:rsid w:val="14BD66ED"/>
    <w:rsid w:val="14EA2736"/>
    <w:rsid w:val="150E3040"/>
    <w:rsid w:val="160526C3"/>
    <w:rsid w:val="16072E4F"/>
    <w:rsid w:val="17054526"/>
    <w:rsid w:val="17A252C5"/>
    <w:rsid w:val="17F42A8D"/>
    <w:rsid w:val="18116ECC"/>
    <w:rsid w:val="18310E43"/>
    <w:rsid w:val="187E6699"/>
    <w:rsid w:val="18C66CA9"/>
    <w:rsid w:val="19292874"/>
    <w:rsid w:val="192E7AAE"/>
    <w:rsid w:val="1956660C"/>
    <w:rsid w:val="19983BCC"/>
    <w:rsid w:val="19D05643"/>
    <w:rsid w:val="1A410E10"/>
    <w:rsid w:val="1AD3096B"/>
    <w:rsid w:val="1B5B37A8"/>
    <w:rsid w:val="1BB1298F"/>
    <w:rsid w:val="1CA3349C"/>
    <w:rsid w:val="1CA56C3B"/>
    <w:rsid w:val="1DB4234F"/>
    <w:rsid w:val="1E4A616F"/>
    <w:rsid w:val="1E5A248F"/>
    <w:rsid w:val="1E83443A"/>
    <w:rsid w:val="1ED14821"/>
    <w:rsid w:val="1ED51ED3"/>
    <w:rsid w:val="1F9C61EE"/>
    <w:rsid w:val="1FA51FD0"/>
    <w:rsid w:val="1FDD6E90"/>
    <w:rsid w:val="20282386"/>
    <w:rsid w:val="206C658E"/>
    <w:rsid w:val="20823833"/>
    <w:rsid w:val="214B29C3"/>
    <w:rsid w:val="21610D1A"/>
    <w:rsid w:val="21B0403A"/>
    <w:rsid w:val="220403FC"/>
    <w:rsid w:val="22243F01"/>
    <w:rsid w:val="2276562D"/>
    <w:rsid w:val="22DB2A40"/>
    <w:rsid w:val="23B06CFF"/>
    <w:rsid w:val="23D82B44"/>
    <w:rsid w:val="24783EEF"/>
    <w:rsid w:val="24E223DF"/>
    <w:rsid w:val="256D6A5C"/>
    <w:rsid w:val="25943A43"/>
    <w:rsid w:val="261B0526"/>
    <w:rsid w:val="263D325B"/>
    <w:rsid w:val="26FF6F87"/>
    <w:rsid w:val="27F03BE0"/>
    <w:rsid w:val="28944AE8"/>
    <w:rsid w:val="289D4B33"/>
    <w:rsid w:val="297A3ED9"/>
    <w:rsid w:val="297A4149"/>
    <w:rsid w:val="29F125D5"/>
    <w:rsid w:val="2A8A6AAE"/>
    <w:rsid w:val="2C27322C"/>
    <w:rsid w:val="2D1139F4"/>
    <w:rsid w:val="2E023E19"/>
    <w:rsid w:val="2F1B42B7"/>
    <w:rsid w:val="30371A3E"/>
    <w:rsid w:val="30681285"/>
    <w:rsid w:val="31C978BE"/>
    <w:rsid w:val="32D5248E"/>
    <w:rsid w:val="33A82040"/>
    <w:rsid w:val="34D96843"/>
    <w:rsid w:val="35BF0790"/>
    <w:rsid w:val="361402BE"/>
    <w:rsid w:val="36727BE2"/>
    <w:rsid w:val="368D0A96"/>
    <w:rsid w:val="36FD2DEB"/>
    <w:rsid w:val="37737E5C"/>
    <w:rsid w:val="38376840"/>
    <w:rsid w:val="38C94119"/>
    <w:rsid w:val="396041AC"/>
    <w:rsid w:val="3A00614F"/>
    <w:rsid w:val="3A3E0A25"/>
    <w:rsid w:val="3A4808CB"/>
    <w:rsid w:val="3ACB1702"/>
    <w:rsid w:val="3BB7353F"/>
    <w:rsid w:val="3BFD34BF"/>
    <w:rsid w:val="3D2D0D89"/>
    <w:rsid w:val="3D6E2980"/>
    <w:rsid w:val="3E623E77"/>
    <w:rsid w:val="3E8C40FA"/>
    <w:rsid w:val="3EE33056"/>
    <w:rsid w:val="3F3B6E9F"/>
    <w:rsid w:val="3F960C42"/>
    <w:rsid w:val="3FB54866"/>
    <w:rsid w:val="3FD61700"/>
    <w:rsid w:val="3FDB4E00"/>
    <w:rsid w:val="40250D4D"/>
    <w:rsid w:val="40D51792"/>
    <w:rsid w:val="40F16869"/>
    <w:rsid w:val="416424A6"/>
    <w:rsid w:val="42BE4C8C"/>
    <w:rsid w:val="42EB666F"/>
    <w:rsid w:val="439B196A"/>
    <w:rsid w:val="439C2E9F"/>
    <w:rsid w:val="43D10513"/>
    <w:rsid w:val="44220A5B"/>
    <w:rsid w:val="45366DBD"/>
    <w:rsid w:val="46376147"/>
    <w:rsid w:val="46401036"/>
    <w:rsid w:val="46955E71"/>
    <w:rsid w:val="474B2A15"/>
    <w:rsid w:val="474F4F77"/>
    <w:rsid w:val="47AA50B6"/>
    <w:rsid w:val="48592FEA"/>
    <w:rsid w:val="49575E34"/>
    <w:rsid w:val="49F61864"/>
    <w:rsid w:val="4A057DE2"/>
    <w:rsid w:val="4A7506E1"/>
    <w:rsid w:val="4A793D9D"/>
    <w:rsid w:val="4A9966D4"/>
    <w:rsid w:val="4B59499D"/>
    <w:rsid w:val="4B645E43"/>
    <w:rsid w:val="4B87460E"/>
    <w:rsid w:val="4B94037D"/>
    <w:rsid w:val="4CCC3C6F"/>
    <w:rsid w:val="4D3523D3"/>
    <w:rsid w:val="4DB51293"/>
    <w:rsid w:val="4E2C1CC7"/>
    <w:rsid w:val="4FAC0F2D"/>
    <w:rsid w:val="4FBF17B7"/>
    <w:rsid w:val="50007E81"/>
    <w:rsid w:val="500D7D0B"/>
    <w:rsid w:val="508C4293"/>
    <w:rsid w:val="521A7572"/>
    <w:rsid w:val="52A25A99"/>
    <w:rsid w:val="52B850BE"/>
    <w:rsid w:val="53061176"/>
    <w:rsid w:val="53561A52"/>
    <w:rsid w:val="53BE757D"/>
    <w:rsid w:val="54AD2824"/>
    <w:rsid w:val="55056B59"/>
    <w:rsid w:val="561A1EEF"/>
    <w:rsid w:val="563863F3"/>
    <w:rsid w:val="567A127C"/>
    <w:rsid w:val="56AE5131"/>
    <w:rsid w:val="5763323A"/>
    <w:rsid w:val="57B07C9C"/>
    <w:rsid w:val="57D26D20"/>
    <w:rsid w:val="57E84FD9"/>
    <w:rsid w:val="587009E0"/>
    <w:rsid w:val="58DB32C9"/>
    <w:rsid w:val="590E504B"/>
    <w:rsid w:val="59657925"/>
    <w:rsid w:val="597077FA"/>
    <w:rsid w:val="59C95D39"/>
    <w:rsid w:val="59F81A95"/>
    <w:rsid w:val="5A920014"/>
    <w:rsid w:val="5AF54827"/>
    <w:rsid w:val="5B522E89"/>
    <w:rsid w:val="5B6806D3"/>
    <w:rsid w:val="5C8C1F35"/>
    <w:rsid w:val="5DA233C7"/>
    <w:rsid w:val="5DA84284"/>
    <w:rsid w:val="5DE470D4"/>
    <w:rsid w:val="5EE565D7"/>
    <w:rsid w:val="5EE832F7"/>
    <w:rsid w:val="60E569DB"/>
    <w:rsid w:val="61174B37"/>
    <w:rsid w:val="61B06041"/>
    <w:rsid w:val="61E07132"/>
    <w:rsid w:val="620913F7"/>
    <w:rsid w:val="622E58DA"/>
    <w:rsid w:val="623D1C57"/>
    <w:rsid w:val="626E4B50"/>
    <w:rsid w:val="62866D8E"/>
    <w:rsid w:val="63E836CF"/>
    <w:rsid w:val="64157FE1"/>
    <w:rsid w:val="64792A73"/>
    <w:rsid w:val="647D2112"/>
    <w:rsid w:val="64F90EBE"/>
    <w:rsid w:val="67804B47"/>
    <w:rsid w:val="695B1709"/>
    <w:rsid w:val="6A85538B"/>
    <w:rsid w:val="6AEE6F18"/>
    <w:rsid w:val="6B6E64BF"/>
    <w:rsid w:val="6BD00721"/>
    <w:rsid w:val="6C935742"/>
    <w:rsid w:val="6CDA7DDE"/>
    <w:rsid w:val="6F40631D"/>
    <w:rsid w:val="6F5224E9"/>
    <w:rsid w:val="6FBD50B0"/>
    <w:rsid w:val="6FC138AF"/>
    <w:rsid w:val="70037228"/>
    <w:rsid w:val="705C39A2"/>
    <w:rsid w:val="7076253A"/>
    <w:rsid w:val="70871AD7"/>
    <w:rsid w:val="70CE5958"/>
    <w:rsid w:val="70D21960"/>
    <w:rsid w:val="725C70E8"/>
    <w:rsid w:val="72EE22E1"/>
    <w:rsid w:val="735D6DE2"/>
    <w:rsid w:val="73F154C9"/>
    <w:rsid w:val="740B1FF0"/>
    <w:rsid w:val="74765611"/>
    <w:rsid w:val="765C4CB4"/>
    <w:rsid w:val="7675506C"/>
    <w:rsid w:val="768A124E"/>
    <w:rsid w:val="774F5565"/>
    <w:rsid w:val="77591F00"/>
    <w:rsid w:val="777925E2"/>
    <w:rsid w:val="78621982"/>
    <w:rsid w:val="79591746"/>
    <w:rsid w:val="7A324215"/>
    <w:rsid w:val="7A560E98"/>
    <w:rsid w:val="7AA03EBF"/>
    <w:rsid w:val="7C215833"/>
    <w:rsid w:val="7CF43977"/>
    <w:rsid w:val="7D2734CA"/>
    <w:rsid w:val="7DD22834"/>
    <w:rsid w:val="7DEB06E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1" w:semiHidden="0" w:name="heading 3"/>
    <w:lsdException w:qFormat="1" w:uiPriority="9" w:name="heading 4"/>
    <w:lsdException w:qFormat="1" w:uiPriority="1"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6"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link w:val="30"/>
    <w:qFormat/>
    <w:uiPriority w:val="0"/>
    <w:pPr>
      <w:keepNext/>
      <w:keepLines/>
      <w:spacing w:before="340" w:after="330" w:line="578" w:lineRule="auto"/>
      <w:outlineLvl w:val="0"/>
    </w:pPr>
    <w:rPr>
      <w:b/>
      <w:bCs/>
      <w:kern w:val="44"/>
      <w:sz w:val="44"/>
      <w:szCs w:val="44"/>
    </w:rPr>
  </w:style>
  <w:style w:type="paragraph" w:styleId="2">
    <w:name w:val="heading 2"/>
    <w:basedOn w:val="1"/>
    <w:next w:val="1"/>
    <w:qFormat/>
    <w:uiPriority w:val="99"/>
    <w:pPr>
      <w:keepNext/>
      <w:keepLines/>
      <w:spacing w:before="260" w:after="260" w:line="416" w:lineRule="auto"/>
      <w:outlineLvl w:val="1"/>
    </w:pPr>
    <w:rPr>
      <w:rFonts w:ascii="Arial" w:hAnsi="Arial" w:eastAsia="黑体" w:cs="Arial"/>
      <w:b/>
      <w:bCs/>
      <w:kern w:val="2"/>
      <w:sz w:val="32"/>
      <w:szCs w:val="32"/>
    </w:rPr>
  </w:style>
  <w:style w:type="paragraph" w:styleId="4">
    <w:name w:val="heading 3"/>
    <w:basedOn w:val="1"/>
    <w:next w:val="1"/>
    <w:unhideWhenUsed/>
    <w:qFormat/>
    <w:uiPriority w:val="1"/>
    <w:pPr>
      <w:ind w:left="-12"/>
      <w:outlineLvl w:val="2"/>
    </w:pPr>
    <w:rPr>
      <w:rFonts w:hint="eastAsia" w:ascii="宋体" w:hAnsi="宋体" w:eastAsia="宋体"/>
      <w:b/>
      <w:sz w:val="36"/>
    </w:rPr>
  </w:style>
  <w:style w:type="paragraph" w:styleId="5">
    <w:name w:val="heading 5"/>
    <w:basedOn w:val="1"/>
    <w:next w:val="1"/>
    <w:link w:val="36"/>
    <w:unhideWhenUsed/>
    <w:qFormat/>
    <w:uiPriority w:val="1"/>
    <w:pPr>
      <w:outlineLvl w:val="4"/>
    </w:pPr>
    <w:rPr>
      <w:rFonts w:hint="eastAsia" w:ascii="宋体" w:hAnsi="宋体" w:eastAsia="宋体"/>
      <w:sz w:val="32"/>
    </w:rPr>
  </w:style>
  <w:style w:type="character" w:default="1" w:styleId="20">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heme="minorHAnsi" w:hAnsiTheme="minorHAnsi" w:cstheme="minorBidi"/>
    </w:rPr>
  </w:style>
  <w:style w:type="paragraph" w:styleId="7">
    <w:name w:val="annotation text"/>
    <w:basedOn w:val="1"/>
    <w:qFormat/>
    <w:uiPriority w:val="0"/>
    <w:pPr>
      <w:jc w:val="left"/>
    </w:pPr>
  </w:style>
  <w:style w:type="paragraph" w:styleId="8">
    <w:name w:val="Body Text"/>
    <w:basedOn w:val="1"/>
    <w:next w:val="1"/>
    <w:qFormat/>
    <w:uiPriority w:val="1"/>
    <w:pPr>
      <w:spacing w:before="8"/>
    </w:pPr>
    <w:rPr>
      <w:rFonts w:ascii="宋体" w:hAnsi="宋体" w:eastAsia="宋体" w:cs="宋体"/>
      <w:sz w:val="32"/>
      <w:szCs w:val="32"/>
      <w:lang w:val="zh-CN" w:eastAsia="zh-CN" w:bidi="zh-CN"/>
    </w:rPr>
  </w:style>
  <w:style w:type="paragraph" w:styleId="9">
    <w:name w:val="Body Text Indent"/>
    <w:basedOn w:val="1"/>
    <w:next w:val="1"/>
    <w:qFormat/>
    <w:uiPriority w:val="0"/>
    <w:pPr>
      <w:spacing w:line="520" w:lineRule="exact"/>
      <w:ind w:firstLine="480" w:firstLineChars="200"/>
    </w:pPr>
    <w:rPr>
      <w:rFonts w:ascii="Calibri" w:hAnsi="Calibri"/>
      <w:kern w:val="0"/>
      <w:sz w:val="24"/>
      <w:szCs w:val="20"/>
    </w:rPr>
  </w:style>
  <w:style w:type="paragraph" w:styleId="10">
    <w:name w:val="Plain Text"/>
    <w:basedOn w:val="1"/>
    <w:qFormat/>
    <w:uiPriority w:val="6"/>
    <w:rPr>
      <w:rFonts w:ascii="宋体" w:hAnsi="宋体" w:cs="Courier New"/>
      <w:kern w:val="1"/>
      <w:szCs w:val="21"/>
    </w:rPr>
  </w:style>
  <w:style w:type="paragraph" w:styleId="11">
    <w:name w:val="Date"/>
    <w:basedOn w:val="1"/>
    <w:next w:val="1"/>
    <w:link w:val="28"/>
    <w:semiHidden/>
    <w:unhideWhenUsed/>
    <w:qFormat/>
    <w:uiPriority w:val="99"/>
    <w:pPr>
      <w:ind w:left="100" w:leftChars="2500"/>
    </w:pPr>
  </w:style>
  <w:style w:type="paragraph" w:styleId="12">
    <w:name w:val="footer"/>
    <w:basedOn w:val="1"/>
    <w:link w:val="27"/>
    <w:unhideWhenUsed/>
    <w:qFormat/>
    <w:uiPriority w:val="99"/>
    <w:pPr>
      <w:tabs>
        <w:tab w:val="center" w:pos="4153"/>
        <w:tab w:val="right" w:pos="8306"/>
      </w:tabs>
      <w:snapToGrid w:val="0"/>
      <w:jc w:val="left"/>
    </w:pPr>
    <w:rPr>
      <w:sz w:val="18"/>
      <w:szCs w:val="18"/>
    </w:rPr>
  </w:style>
  <w:style w:type="paragraph" w:styleId="13">
    <w:name w:val="header"/>
    <w:basedOn w:val="1"/>
    <w:link w:val="2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4">
    <w:name w:val="footnote text"/>
    <w:basedOn w:val="1"/>
    <w:semiHidden/>
    <w:qFormat/>
    <w:uiPriority w:val="0"/>
    <w:pPr>
      <w:snapToGrid w:val="0"/>
      <w:jc w:val="left"/>
    </w:pPr>
    <w:rPr>
      <w:sz w:val="18"/>
      <w:szCs w:val="18"/>
    </w:rPr>
  </w:style>
  <w:style w:type="paragraph" w:styleId="15">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6">
    <w:name w:val="Title"/>
    <w:basedOn w:val="1"/>
    <w:next w:val="1"/>
    <w:qFormat/>
    <w:uiPriority w:val="0"/>
    <w:pPr>
      <w:spacing w:before="240" w:after="60"/>
      <w:jc w:val="center"/>
      <w:outlineLvl w:val="0"/>
    </w:pPr>
    <w:rPr>
      <w:rFonts w:ascii="Cambria" w:hAnsi="Cambria" w:cs="Times New Roman"/>
      <w:b/>
      <w:bCs/>
      <w:sz w:val="32"/>
      <w:szCs w:val="32"/>
    </w:rPr>
  </w:style>
  <w:style w:type="paragraph" w:styleId="17">
    <w:name w:val="Body Text First Indent 2"/>
    <w:basedOn w:val="9"/>
    <w:unhideWhenUsed/>
    <w:qFormat/>
    <w:uiPriority w:val="99"/>
    <w:pPr>
      <w:ind w:firstLine="420"/>
    </w:pPr>
  </w:style>
  <w:style w:type="table" w:styleId="19">
    <w:name w:val="Table Grid"/>
    <w:basedOn w:val="1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1">
    <w:name w:val="Strong"/>
    <w:basedOn w:val="20"/>
    <w:qFormat/>
    <w:uiPriority w:val="22"/>
    <w:rPr>
      <w:b/>
      <w:bCs/>
    </w:rPr>
  </w:style>
  <w:style w:type="paragraph" w:customStyle="1" w:styleId="2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3">
    <w:name w:val="章标题"/>
    <w:basedOn w:val="24"/>
    <w:next w:val="25"/>
    <w:qFormat/>
    <w:uiPriority w:val="0"/>
    <w:pPr>
      <w:spacing w:before="158" w:after="153" w:line="323" w:lineRule="atLeast"/>
      <w:ind w:right="-120"/>
      <w:jc w:val="center"/>
    </w:pPr>
    <w:rPr>
      <w:color w:val="FF0000"/>
      <w:sz w:val="18"/>
    </w:rPr>
  </w:style>
  <w:style w:type="paragraph" w:customStyle="1" w:styleId="24">
    <w:name w:val="正文1"/>
    <w:qFormat/>
    <w:uiPriority w:val="0"/>
    <w:pPr>
      <w:widowControl w:val="0"/>
      <w:jc w:val="both"/>
    </w:pPr>
    <w:rPr>
      <w:rFonts w:ascii="Calibri" w:hAnsi="Calibri" w:eastAsia="宋体" w:cs="黑体"/>
      <w:kern w:val="2"/>
      <w:sz w:val="21"/>
      <w:szCs w:val="22"/>
      <w:lang w:val="en-US" w:eastAsia="zh-CN" w:bidi="ar-SA"/>
    </w:rPr>
  </w:style>
  <w:style w:type="paragraph" w:customStyle="1" w:styleId="25">
    <w:name w:val="节标题"/>
    <w:next w:val="1"/>
    <w:qFormat/>
    <w:uiPriority w:val="0"/>
    <w:pPr>
      <w:spacing w:line="289" w:lineRule="atLeast"/>
      <w:jc w:val="center"/>
    </w:pPr>
    <w:rPr>
      <w:rFonts w:ascii="Calibri" w:hAnsi="Calibri" w:eastAsia="宋体" w:cs="Times New Roman"/>
      <w:color w:val="000000"/>
      <w:sz w:val="28"/>
      <w:szCs w:val="24"/>
      <w:lang w:val="en-US" w:eastAsia="zh-CN" w:bidi="ar-SA"/>
    </w:rPr>
  </w:style>
  <w:style w:type="character" w:customStyle="1" w:styleId="26">
    <w:name w:val="页眉 Char"/>
    <w:basedOn w:val="20"/>
    <w:link w:val="13"/>
    <w:semiHidden/>
    <w:qFormat/>
    <w:uiPriority w:val="99"/>
    <w:rPr>
      <w:sz w:val="18"/>
      <w:szCs w:val="18"/>
    </w:rPr>
  </w:style>
  <w:style w:type="character" w:customStyle="1" w:styleId="27">
    <w:name w:val="页脚 Char"/>
    <w:basedOn w:val="20"/>
    <w:link w:val="12"/>
    <w:qFormat/>
    <w:uiPriority w:val="99"/>
    <w:rPr>
      <w:sz w:val="18"/>
      <w:szCs w:val="18"/>
    </w:rPr>
  </w:style>
  <w:style w:type="character" w:customStyle="1" w:styleId="28">
    <w:name w:val="日期 Char"/>
    <w:basedOn w:val="20"/>
    <w:link w:val="11"/>
    <w:semiHidden/>
    <w:qFormat/>
    <w:uiPriority w:val="99"/>
  </w:style>
  <w:style w:type="character" w:customStyle="1" w:styleId="29">
    <w:name w:val="apple-style-span"/>
    <w:basedOn w:val="20"/>
    <w:qFormat/>
    <w:uiPriority w:val="0"/>
    <w:rPr>
      <w:rFonts w:hint="default" w:ascii="Times New Roman"/>
    </w:rPr>
  </w:style>
  <w:style w:type="character" w:customStyle="1" w:styleId="30">
    <w:name w:val="标题 1 Char"/>
    <w:link w:val="3"/>
    <w:qFormat/>
    <w:uiPriority w:val="0"/>
    <w:rPr>
      <w:b/>
      <w:bCs/>
      <w:kern w:val="44"/>
      <w:sz w:val="44"/>
      <w:szCs w:val="44"/>
    </w:rPr>
  </w:style>
  <w:style w:type="paragraph" w:customStyle="1" w:styleId="31">
    <w:name w:val="List Paragraph"/>
    <w:basedOn w:val="1"/>
    <w:qFormat/>
    <w:uiPriority w:val="34"/>
    <w:pPr>
      <w:ind w:firstLine="420" w:firstLineChars="200"/>
    </w:pPr>
    <w:rPr>
      <w:rFonts w:ascii="Calibri" w:hAnsi="Calibri"/>
      <w:szCs w:val="22"/>
    </w:rPr>
  </w:style>
  <w:style w:type="character" w:customStyle="1" w:styleId="32">
    <w:name w:val="font11"/>
    <w:basedOn w:val="20"/>
    <w:qFormat/>
    <w:uiPriority w:val="0"/>
    <w:rPr>
      <w:rFonts w:hint="eastAsia" w:ascii="宋体" w:hAnsi="宋体" w:eastAsia="宋体" w:cs="宋体"/>
      <w:color w:val="000000"/>
      <w:sz w:val="24"/>
      <w:szCs w:val="24"/>
      <w:u w:val="none"/>
    </w:rPr>
  </w:style>
  <w:style w:type="paragraph" w:customStyle="1" w:styleId="33">
    <w:name w:val="正文 A"/>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Calibri" w:hAnsi="Calibri" w:eastAsia="Calibri" w:cs="Calibri"/>
      <w:color w:val="000000"/>
      <w:kern w:val="2"/>
      <w:sz w:val="21"/>
      <w:szCs w:val="21"/>
      <w:u w:color="000000"/>
      <w:lang w:val="en-US" w:eastAsia="zh-CN" w:bidi="ar-SA"/>
    </w:rPr>
  </w:style>
  <w:style w:type="paragraph" w:customStyle="1" w:styleId="34">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w:hAnsi="Arial Unicode MS" w:eastAsia="Arial Unicode MS" w:cs="Arial Unicode MS"/>
      <w:color w:val="000000"/>
      <w:sz w:val="24"/>
      <w:szCs w:val="24"/>
      <w:lang w:val="en-US" w:eastAsia="zh-CN" w:bidi="ar-SA"/>
    </w:rPr>
  </w:style>
  <w:style w:type="paragraph" w:customStyle="1" w:styleId="35">
    <w:name w:val="Table Paragraph"/>
    <w:basedOn w:val="1"/>
    <w:qFormat/>
    <w:uiPriority w:val="1"/>
    <w:pPr>
      <w:spacing w:before="21"/>
      <w:ind w:left="108"/>
    </w:pPr>
    <w:rPr>
      <w:rFonts w:ascii="宋体" w:hAnsi="宋体" w:eastAsia="宋体" w:cs="宋体"/>
      <w:lang w:val="zh-CN" w:eastAsia="zh-CN" w:bidi="zh-CN"/>
    </w:rPr>
  </w:style>
  <w:style w:type="character" w:customStyle="1" w:styleId="36">
    <w:name w:val="标题 5 Char"/>
    <w:link w:val="5"/>
    <w:qFormat/>
    <w:uiPriority w:val="1"/>
    <w:rPr>
      <w:rFonts w:hint="eastAsia" w:ascii="宋体" w:hAnsi="宋体" w:eastAsia="宋体"/>
      <w:sz w:val="32"/>
    </w:rPr>
  </w:style>
  <w:style w:type="paragraph" w:customStyle="1" w:styleId="37">
    <w:name w:val="表格"/>
    <w:basedOn w:val="1"/>
    <w:qFormat/>
    <w:uiPriority w:val="0"/>
    <w:pPr>
      <w:spacing w:line="400" w:lineRule="exact"/>
    </w:pPr>
    <w:rPr>
      <w:rFonts w:ascii="Times New Roman" w:hAnsi="Times New Roman" w:eastAsia="宋体" w:cs="Times New Roman"/>
      <w:sz w:val="24"/>
      <w:szCs w:val="24"/>
    </w:rPr>
  </w:style>
  <w:style w:type="character" w:customStyle="1" w:styleId="38">
    <w:name w:val="apple-converted-space"/>
    <w:basedOn w:val="20"/>
    <w:qFormat/>
    <w:uiPriority w:val="0"/>
  </w:style>
  <w:style w:type="paragraph" w:customStyle="1" w:styleId="39">
    <w:name w:val="Table Text"/>
    <w:basedOn w:val="1"/>
    <w:semiHidden/>
    <w:qFormat/>
    <w:uiPriority w:val="0"/>
    <w:rPr>
      <w:rFonts w:ascii="宋体" w:hAnsi="宋体" w:eastAsia="宋体" w:cs="宋体"/>
      <w:sz w:val="24"/>
      <w:szCs w:val="24"/>
      <w:lang w:val="en-US" w:eastAsia="en-US" w:bidi="ar-SA"/>
    </w:rPr>
  </w:style>
  <w:style w:type="table" w:customStyle="1" w:styleId="40">
    <w:name w:val="Table Normal"/>
    <w:semiHidden/>
    <w:unhideWhenUsed/>
    <w:qFormat/>
    <w:uiPriority w:val="0"/>
    <w:tblPr>
      <w:tblCellMar>
        <w:top w:w="0" w:type="dxa"/>
        <w:left w:w="0" w:type="dxa"/>
        <w:bottom w:w="0" w:type="dxa"/>
        <w:right w:w="0" w:type="dxa"/>
      </w:tblCellMar>
    </w:tblPr>
  </w:style>
  <w:style w:type="paragraph" w:customStyle="1" w:styleId="41">
    <w:name w:val="样式 楷体_GB2312 小四 行距: 1.5 倍行距"/>
    <w:basedOn w:val="1"/>
    <w:qFormat/>
    <w:uiPriority w:val="0"/>
    <w:pPr>
      <w:spacing w:line="360" w:lineRule="auto"/>
      <w:ind w:firstLine="200" w:firstLineChars="200"/>
    </w:pPr>
    <w:rPr>
      <w:rFonts w:ascii="楷体_GB2312" w:hAnsi="Calibri" w:eastAsia="楷体_GB2312" w:cs="宋体"/>
      <w:sz w:val="24"/>
      <w:szCs w:val="20"/>
    </w:rPr>
  </w:style>
  <w:style w:type="paragraph" w:customStyle="1" w:styleId="42">
    <w:name w:val="p"/>
    <w:basedOn w:val="1"/>
    <w:qFormat/>
    <w:uiPriority w:val="0"/>
    <w:pPr>
      <w:spacing w:line="525" w:lineRule="atLeast"/>
      <w:ind w:firstLine="375"/>
    </w:pPr>
  </w:style>
  <w:style w:type="paragraph" w:customStyle="1" w:styleId="43">
    <w:name w:val="小四正文"/>
    <w:basedOn w:val="1"/>
    <w:next w:val="1"/>
    <w:qFormat/>
    <w:locked/>
    <w:uiPriority w:val="0"/>
    <w:pPr>
      <w:spacing w:line="360" w:lineRule="auto"/>
      <w:ind w:firstLine="200" w:firstLineChars="200"/>
    </w:pPr>
    <w:rPr>
      <w:rFonts w:ascii="Calibri" w:hAnsi="Calibri"/>
      <w:sz w:val="24"/>
      <w:szCs w:val="28"/>
    </w:rPr>
  </w:style>
  <w:style w:type="character" w:customStyle="1" w:styleId="44">
    <w:name w:val="font21"/>
    <w:basedOn w:val="20"/>
    <w:qFormat/>
    <w:uiPriority w:val="0"/>
    <w:rPr>
      <w:rFonts w:hint="eastAsia" w:ascii="仿宋_GB2312" w:eastAsia="仿宋_GB2312" w:cs="仿宋_GB2312"/>
      <w:color w:val="000000"/>
      <w:sz w:val="28"/>
      <w:szCs w:val="28"/>
      <w:u w:val="none"/>
    </w:rPr>
  </w:style>
  <w:style w:type="character" w:customStyle="1" w:styleId="45">
    <w:name w:val="font31"/>
    <w:basedOn w:val="20"/>
    <w:qFormat/>
    <w:uiPriority w:val="0"/>
    <w:rPr>
      <w:rFonts w:hint="eastAsia" w:ascii="仿宋_GB2312" w:eastAsia="仿宋_GB2312" w:cs="仿宋_GB2312"/>
      <w:color w:val="000000"/>
      <w:sz w:val="24"/>
      <w:szCs w:val="24"/>
      <w:u w:val="none"/>
    </w:rPr>
  </w:style>
  <w:style w:type="character" w:customStyle="1" w:styleId="46">
    <w:name w:val="font41"/>
    <w:basedOn w:val="20"/>
    <w:qFormat/>
    <w:uiPriority w:val="0"/>
    <w:rPr>
      <w:rFonts w:hint="eastAsia" w:ascii="仿宋_GB2312" w:eastAsia="仿宋_GB2312" w:cs="仿宋_GB2312"/>
      <w:color w:val="000000"/>
      <w:sz w:val="22"/>
      <w:szCs w:val="22"/>
      <w:u w:val="none"/>
    </w:rPr>
  </w:style>
  <w:style w:type="character" w:customStyle="1" w:styleId="47">
    <w:name w:val="font51"/>
    <w:basedOn w:val="20"/>
    <w:qFormat/>
    <w:uiPriority w:val="0"/>
    <w:rPr>
      <w:rFonts w:hint="eastAsia" w:ascii="仿宋_GB2312" w:eastAsia="仿宋_GB2312" w:cs="仿宋_GB2312"/>
      <w:b/>
      <w:bCs/>
      <w:color w:val="000000"/>
      <w:sz w:val="22"/>
      <w:szCs w:val="22"/>
      <w:u w:val="none"/>
    </w:rPr>
  </w:style>
  <w:style w:type="paragraph" w:customStyle="1" w:styleId="48">
    <w:name w:val="标题 5（有编号）（绿盟科技）"/>
    <w:basedOn w:val="24"/>
    <w:next w:val="49"/>
    <w:qFormat/>
    <w:uiPriority w:val="0"/>
    <w:pPr>
      <w:keepNext/>
      <w:keepLines/>
      <w:numPr>
        <w:ilvl w:val="4"/>
        <w:numId w:val="1"/>
      </w:numPr>
      <w:tabs>
        <w:tab w:val="left" w:pos="0"/>
      </w:tabs>
      <w:spacing w:before="280" w:after="156" w:line="377" w:lineRule="auto"/>
      <w:outlineLvl w:val="4"/>
    </w:pPr>
    <w:rPr>
      <w:rFonts w:ascii="Arial" w:hAnsi="Arial" w:eastAsia="黑体"/>
      <w:b/>
      <w:kern w:val="0"/>
      <w:szCs w:val="28"/>
    </w:rPr>
  </w:style>
  <w:style w:type="paragraph" w:customStyle="1" w:styleId="49">
    <w:name w:val="正文（绿盟科技）"/>
    <w:qFormat/>
    <w:uiPriority w:val="0"/>
    <w:pPr>
      <w:spacing w:line="300" w:lineRule="auto"/>
    </w:pPr>
    <w:rPr>
      <w:rFonts w:ascii="Arial" w:hAnsi="Arial" w:eastAsia="宋体" w:cs="黑体"/>
      <w:sz w:val="21"/>
      <w:szCs w:val="21"/>
      <w:lang w:val="en-US" w:eastAsia="zh-CN" w:bidi="ar-SA"/>
    </w:rPr>
  </w:style>
  <w:style w:type="paragraph" w:customStyle="1" w:styleId="50">
    <w:name w:val="正文文本1"/>
    <w:basedOn w:val="51"/>
    <w:next w:val="24"/>
    <w:qFormat/>
    <w:uiPriority w:val="0"/>
    <w:pPr>
      <w:spacing w:beforeLines="0" w:afterLines="50"/>
    </w:pPr>
  </w:style>
  <w:style w:type="paragraph" w:customStyle="1" w:styleId="51">
    <w:name w:val="表格内1"/>
    <w:next w:val="50"/>
    <w:qFormat/>
    <w:uiPriority w:val="0"/>
    <w:pPr>
      <w:widowControl w:val="0"/>
      <w:numPr>
        <w:ilvl w:val="0"/>
        <w:numId w:val="2"/>
      </w:numPr>
      <w:jc w:val="both"/>
    </w:pPr>
    <w:rPr>
      <w:rFonts w:ascii="Calibri" w:hAnsi="Calibri" w:eastAsia="宋体" w:cs="黑体"/>
      <w:b/>
      <w:kern w:val="2"/>
      <w:sz w:val="21"/>
      <w:szCs w:val="22"/>
      <w:lang w:val="en-US" w:eastAsia="zh-CN" w:bidi="ar-SA"/>
    </w:rPr>
  </w:style>
  <w:style w:type="paragraph" w:customStyle="1" w:styleId="52">
    <w:name w:val="正文首行缩进两字符"/>
    <w:basedOn w:val="1"/>
    <w:qFormat/>
    <w:uiPriority w:val="0"/>
    <w:pPr>
      <w:spacing w:line="360" w:lineRule="auto"/>
      <w:ind w:firstLine="200" w:firstLineChars="200"/>
    </w:pPr>
  </w:style>
  <w:style w:type="paragraph" w:customStyle="1" w:styleId="53">
    <w:name w:val="列出段落1"/>
    <w:basedOn w:val="1"/>
    <w:qFormat/>
    <w:uiPriority w:val="0"/>
    <w:pPr>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A395F0-BDC6-4B2A-AB0A-454A4D7AF798}">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2933</Words>
  <Characters>3118</Characters>
  <Lines>18</Lines>
  <Paragraphs>5</Paragraphs>
  <TotalTime>25</TotalTime>
  <ScaleCrop>false</ScaleCrop>
  <LinksUpToDate>false</LinksUpToDate>
  <CharactersWithSpaces>3263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2018-10-26T00:11:00Z</dcterms:created>
  <dc:creator>Microsoft</dc:creator>
  <cp:lastModifiedBy>喽啰</cp:lastModifiedBy>
  <cp:lastPrinted>2024-08-28T01:17:00Z</cp:lastPrinted>
  <dcterms:modified xsi:type="dcterms:W3CDTF">2025-03-20T03:28:05Z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BB4F48F59C1E45CD94C89F5124362849_13</vt:lpwstr>
  </property>
  <property fmtid="{D5CDD505-2E9C-101B-9397-08002B2CF9AE}" pid="4" name="commondata">
    <vt:lpwstr>eyJoZGlkIjoiOWQwMGZiM2I2N2E5NTM5YjM1OTU4N2UwNzJlMWE3MGIifQ==</vt:lpwstr>
  </property>
  <property fmtid="{D5CDD505-2E9C-101B-9397-08002B2CF9AE}" pid="5" name="KSOTemplateDocerSaveRecord">
    <vt:lpwstr>eyJoZGlkIjoiOWVkYjBiMzcyZWEyYjdiNDdiZWEzMzIwNjA1NmVlZWMiLCJ1c2VySWQiOiIzOTA3NjIxODEifQ==</vt:lpwstr>
  </property>
</Properties>
</file>